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80"/>
      </w:pPr>
      <w:r>
        <w:rPr>
          <w:rFonts w:ascii="Calibri" w:hAnsi="Calibri"/>
          <w:b/>
          <w:color w:val="1A365D"/>
          <w:sz w:val="48"/>
        </w:rPr>
        <w:t>Sync Wallet Platform Overview &amp; Enterprise Banking Strategy</w:t>
      </w:r>
    </w:p>
    <w:p>
      <w:pPr>
        <w:spacing w:before="0" w:after="320"/>
      </w:pPr>
      <w:r>
        <w:rPr>
          <w:rFonts w:ascii="Calibri" w:hAnsi="Calibri"/>
          <w:color w:val="2B6CB0"/>
          <w:sz w:val="26"/>
        </w:rPr>
        <w:t>Client Overview, Technical Feature Breakdown &amp; Full Matrix Partner Bank Research for Deposits, ACH, and On/Off-Ramps</w:t>
      </w:r>
    </w:p>
    <w:p>
      <w:pPr>
        <w:spacing w:before="0" w:after="360" w:line="288" w:lineRule="auto"/>
      </w:pPr>
      <w:r>
        <w:rPr>
          <w:b/>
          <w:color w:val="1A365D"/>
        </w:rPr>
        <w:t xml:space="preserve">Author: </w:t>
      </w:r>
      <w:r>
        <w:t xml:space="preserve">Sync Architecture Team   |   </w:t>
      </w:r>
      <w:r>
        <w:rPr>
          <w:b/>
          <w:color w:val="1A365D"/>
        </w:rPr>
        <w:t xml:space="preserve">Scope: </w:t>
      </w:r>
      <w:r>
        <w:t>React Native SDK, Express Backend, Demo Storefront, Tier-1 Sponsor Banking</w:t>
        <w:br/>
      </w:r>
      <w:r>
        <w:rPr>
          <w:b/>
          <w:color w:val="1A365D"/>
        </w:rPr>
        <w:t xml:space="preserve">Date: </w:t>
      </w:r>
      <w:r>
        <w:t xml:space="preserve">August 2026   |   </w:t>
      </w:r>
      <w:r>
        <w:rPr>
          <w:b/>
          <w:color w:val="1A365D"/>
        </w:rPr>
        <w:t xml:space="preserve">Version: </w:t>
      </w:r>
      <w:r>
        <w:t>1.3.0 (Enterprise Client Edition)</w:t>
      </w:r>
    </w:p>
    <w:p>
      <w:pPr>
        <w:spacing w:before="0" w:after="280"/>
        <w:pBdr>
          <w:bottom w:val="single" w:sz="12" w:space="1" w:color="1A365D"/>
        </w:pBdr>
      </w:pPr>
    </w:p>
    <w:tbl>
      <w:tblPr>
        <w:tblW w:type="auto" w:w="0"/>
        <w:jc w:val="center"/>
        <w:tblLayout w:type="fixed"/>
        <w:tblLook w:firstColumn="1" w:firstRow="1" w:lastColumn="0" w:lastRow="0" w:noHBand="0" w:noVBand="1" w:val="04A0"/>
      </w:tblPr>
      <w:tblGrid>
        <w:gridCol w:w="9792"/>
      </w:tblGrid>
      <w:tr>
        <w:tc>
          <w:tcPr>
            <w:tcW w:type="dxa" w:w="9360"/>
            <w:shd w:fill="EDF2F7"/>
            <w:tcMar>
              <w:top w:w="140" w:type="dxa"/>
              <w:bottom w:w="140" w:type="dxa"/>
              <w:left w:w="200" w:type="dxa"/>
              <w:right w:w="160" w:type="dxa"/>
            </w:tcMar>
            <w:tcBorders>
              <w:left w:val="single" w:sz="24" w:space="0" w:color="1A365D"/>
              <w:top w:val="none"/>
              <w:bottom w:val="none"/>
              <w:right w:val="none"/>
            </w:tcBorders>
          </w:tcPr>
          <w:p>
            <w:pPr>
              <w:spacing w:before="40" w:after="80"/>
            </w:pPr>
            <w:r>
              <w:rPr>
                <w:rFonts w:ascii="Calibri" w:hAnsi="Calibri"/>
                <w:b/>
                <w:color w:val="1A365D"/>
                <w:sz w:val="21"/>
              </w:rPr>
              <w:t>📌 EXECUTIVE STRATEGY SUMMARY</w:t>
              <w:br/>
            </w:r>
          </w:p>
          <w:p>
            <w:pPr>
              <w:spacing w:before="0" w:after="60" w:line="276" w:lineRule="auto"/>
            </w:pPr>
            <w:r>
              <w:rPr>
                <w:rFonts w:ascii="Calibri" w:hAnsi="Calibri"/>
                <w:color w:val="2D3748"/>
                <w:sz w:val="20"/>
              </w:rPr>
              <w:t>Sync Wallet combines an embedded non-custodial cryptographic wallet engine on Solana with biometric security (FaceID/Passkeys), universal merchant checkout (PayWithSync), customer loyalty/rewards engines, and multi-rail payment support.</w:t>
            </w:r>
          </w:p>
          <w:p>
            <w:pPr>
              <w:spacing w:before="0" w:after="60" w:line="276" w:lineRule="auto"/>
            </w:pPr>
            <w:r>
              <w:rPr>
                <w:rFonts w:ascii="Calibri" w:hAnsi="Calibri"/>
                <w:color w:val="2D3748"/>
                <w:sz w:val="20"/>
              </w:rPr>
              <w:t>To support native stored-value fiat deposits, wholesale-cost ACH, and bidirectional crypto on/off-ramps, this document outlines the client-facing value proposition, technical architecture, and premier Tier-1/Tier-2 commercial neobank partners (Customers Bank, Cross River Bank, Lead Bank, Sutton Bank, Pathward, Grasshopper Bank, and FV Bank).</w:t>
            </w:r>
          </w:p>
        </w:tc>
      </w:tr>
    </w:tbl>
    <w:p>
      <w:pPr>
        <w:spacing w:before="80" w:after="80"/>
      </w:pPr>
    </w:p>
    <w:p>
      <w:pPr>
        <w:pStyle w:val="Heading1"/>
        <w:spacing w:before="320" w:after="160"/>
      </w:pPr>
      <w:r>
        <w:t>Client Guide: What is Sync Wallet and What Problems Does It Solve?</w:t>
      </w:r>
    </w:p>
    <w:p>
      <w:pPr>
        <w:spacing w:line="276" w:lineRule="auto" w:after="160"/>
      </w:pPr>
      <w:r>
        <w:rPr>
          <w:b/>
          <w:color w:val="2B6CB0"/>
          <w:sz w:val="24"/>
        </w:rPr>
        <w:t>What is Sync Wallet?</w:t>
        <w:br/>
      </w:r>
      <w:r>
        <w:rPr>
          <w:color w:val="2D3748"/>
        </w:rPr>
        <w:t>Sync Wallet is an embedded, consumer-friendly Web3 &amp; fiat financial engine designed to bridge everyday commerce with next-generation digital assets. It allows brands, mobile apps, e-commerce stores, and fintech platforms to embed a modern, high-speed wallet directly into their applications. With Sync, end users enjoy the seamless, one-touch convenience of Apple Pay combined with the true cryptographic ownership and speed of the Solana blockchain—without ever needing to manage seed phrases, browser extensions, or gas fees.</w:t>
      </w:r>
    </w:p>
    <w:p>
      <w:pPr>
        <w:spacing w:line="276" w:lineRule="auto" w:after="160"/>
      </w:pPr>
      <w:r>
        <w:rPr>
          <w:b/>
          <w:color w:val="1A365D"/>
          <w:sz w:val="22"/>
        </w:rPr>
        <w:t>The 5 Core Problems Sync Wallet Solves:</w:t>
      </w:r>
    </w:p>
    <w:p>
      <w:pPr>
        <w:spacing w:before="80" w:after="120" w:line="276" w:lineRule="auto"/>
      </w:pPr>
      <w:r>
        <w:rPr>
          <w:b/>
          <w:color w:val="2B6CB0"/>
          <w:sz w:val="20"/>
        </w:rPr>
        <w:t>1. The Web3 'Usability Wall' (Seed Phrases &amp; Gas Fees):</w:t>
        <w:br/>
      </w:r>
      <w:r>
        <w:rPr>
          <w:b/>
          <w:color w:val="C53030"/>
        </w:rPr>
        <w:t xml:space="preserve">• The Problem: </w:t>
      </w:r>
      <w:r>
        <w:rPr>
          <w:color w:val="2D3748"/>
        </w:rPr>
        <w:t>Traditional crypto wallets require users to write down 24-word seed phrases, install browser extensions, and hold native crypto (like SOL or ETH) just to pay network gas fees.</w:t>
        <w:br/>
      </w:r>
      <w:r>
        <w:rPr>
          <w:b/>
          <w:color w:val="276749"/>
        </w:rPr>
        <w:t xml:space="preserve">• The Sync Solution: </w:t>
      </w:r>
      <w:r>
        <w:rPr>
          <w:color w:val="2D3748"/>
        </w:rPr>
        <w:t>Sync solves this with instant non-custodial onboarding via hardware biometrics (FaceID/TouchID/Passkeys), zero-knowledge client-encrypted cloud recovery, and sponsored gasless transactions where the backend covers network fees on the user's behalf.</w:t>
      </w:r>
    </w:p>
    <w:p>
      <w:pPr>
        <w:spacing w:before="80" w:after="120" w:line="276" w:lineRule="auto"/>
      </w:pPr>
      <w:r>
        <w:rPr>
          <w:b/>
          <w:color w:val="2B6CB0"/>
          <w:sz w:val="20"/>
        </w:rPr>
        <w:t>2. High Credit Card Processing Fees &amp; Chargeback Fraud for Merchants:</w:t>
        <w:br/>
      </w:r>
      <w:r>
        <w:rPr>
          <w:b/>
          <w:color w:val="C53030"/>
        </w:rPr>
        <w:t xml:space="preserve">• The Problem: </w:t>
      </w:r>
      <w:r>
        <w:rPr>
          <w:color w:val="2D3748"/>
        </w:rPr>
        <w:t>Traditional card rails (Visa, Mastercard, Stripe, Square) charge merchants 2.5%–4.0% per transaction, carry severe chargeback fraud risks, and delay fund settlements by 2–3 business days.</w:t>
        <w:br/>
      </w:r>
      <w:r>
        <w:rPr>
          <w:b/>
          <w:color w:val="276749"/>
        </w:rPr>
        <w:t xml:space="preserve">• The Sync Solution: </w:t>
      </w:r>
      <w:r>
        <w:rPr>
          <w:color w:val="2D3748"/>
        </w:rPr>
        <w:t>Sync solves this through PayWithSync, enabling instant, non-reversible, low-cost crypto checkout (USDC on Solana) alongside fiat. This cuts merchant transaction processing costs by up to 80% while settling funds in under 2 seconds.</w:t>
      </w:r>
    </w:p>
    <w:p>
      <w:pPr>
        <w:spacing w:before="80" w:after="120" w:line="276" w:lineRule="auto"/>
      </w:pPr>
      <w:r>
        <w:rPr>
          <w:b/>
          <w:color w:val="2B6CB0"/>
          <w:sz w:val="20"/>
        </w:rPr>
        <w:t>3. Fragmented Fiat Banking &amp; Crypto Silos:</w:t>
        <w:br/>
      </w:r>
      <w:r>
        <w:rPr>
          <w:b/>
          <w:color w:val="C53030"/>
        </w:rPr>
        <w:t xml:space="preserve">• The Problem: </w:t>
      </w:r>
      <w:r>
        <w:rPr>
          <w:color w:val="2D3748"/>
        </w:rPr>
        <w:t>Consumers currently juggle separate apps: traditional banks (Chase/BoA), crypto exchanges (Coinbase), and Web3 wallets (Phantom), creating massive friction when buying products or moving money.</w:t>
        <w:br/>
      </w:r>
      <w:r>
        <w:rPr>
          <w:b/>
          <w:color w:val="276749"/>
        </w:rPr>
        <w:t xml:space="preserve">• The Sync Solution: </w:t>
      </w:r>
      <w:r>
        <w:rPr>
          <w:color w:val="2D3748"/>
        </w:rPr>
        <w:t>Sync bridges both worlds into a unified multi-rail checkout. Users can seamlessly choose between Solana crypto (USDC/SOL), in-app store credits, or traditional bank/card checkout (Clover &amp; CLIQ) within a single screen, backed by automated bank on-ramps and off-ramps.</w:t>
      </w:r>
    </w:p>
    <w:p>
      <w:pPr>
        <w:spacing w:before="80" w:after="120" w:line="276" w:lineRule="auto"/>
      </w:pPr>
      <w:r>
        <w:rPr>
          <w:b/>
          <w:color w:val="2B6CB0"/>
          <w:sz w:val="20"/>
        </w:rPr>
        <w:t>4. Lack of Built-in Customer Loyalty, Retention &amp; Growth Tools:</w:t>
        <w:br/>
      </w:r>
      <w:r>
        <w:rPr>
          <w:b/>
          <w:color w:val="C53030"/>
        </w:rPr>
        <w:t xml:space="preserve">• The Problem: </w:t>
      </w:r>
      <w:r>
        <w:rPr>
          <w:color w:val="2D3748"/>
        </w:rPr>
        <w:t>Standard wallets are passive financial storage tools with zero retention or marketing capabilities for brands.</w:t>
        <w:br/>
      </w:r>
      <w:r>
        <w:rPr>
          <w:b/>
          <w:color w:val="276749"/>
        </w:rPr>
        <w:t xml:space="preserve">• The Sync Solution: </w:t>
      </w:r>
      <w:r>
        <w:rPr>
          <w:color w:val="2D3748"/>
        </w:rPr>
        <w:t>Sync turns the wallet into a dynamic customer growth engine with custom tokenized rewards, automated tier progression (Bronze, Silver, Gold, Platinum), merchant promotional offer claims, milestone quests, and viral referral invite tracking.</w:t>
      </w:r>
    </w:p>
    <w:p>
      <w:pPr>
        <w:spacing w:before="80" w:after="120" w:line="276" w:lineRule="auto"/>
      </w:pPr>
      <w:r>
        <w:rPr>
          <w:b/>
          <w:color w:val="2B6CB0"/>
          <w:sz w:val="20"/>
        </w:rPr>
        <w:t>5. The Security vs. Convenience Dilemma:</w:t>
        <w:br/>
      </w:r>
      <w:r>
        <w:rPr>
          <w:b/>
          <w:color w:val="C53030"/>
        </w:rPr>
        <w:t xml:space="preserve">• The Problem: </w:t>
      </w:r>
      <w:r>
        <w:rPr>
          <w:color w:val="2D3748"/>
        </w:rPr>
        <w:t>Centralized custodial platforms risk exchange collapses and regulatory freezes (e.g. FTX/Celsius), while typical self-custody wallets are easily lost if a user misplaces a seed phrase.</w:t>
        <w:br/>
      </w:r>
      <w:r>
        <w:rPr>
          <w:b/>
          <w:color w:val="276749"/>
        </w:rPr>
        <w:t xml:space="preserve">• The Sync Solution: </w:t>
      </w:r>
      <w:r>
        <w:rPr>
          <w:color w:val="2D3748"/>
        </w:rPr>
        <w:t>Sync provides defense-in-depth architecture: 100% non-custodial private key sovereignty, client-encrypted zero-knowledge cloud backup envelopes, sliding Step-Up claim authorization for high-risk actions, 2FA TOTP, and hardware device trust scoring.</w:t>
      </w:r>
    </w:p>
    <w:p>
      <w:pPr>
        <w:spacing w:before="160"/>
      </w:pPr>
    </w:p>
    <w:p>
      <w:pPr>
        <w:pStyle w:val="Heading1"/>
        <w:spacing w:before="360" w:after="160"/>
      </w:pPr>
      <w:r>
        <w:t>Part 1: Sync Wallet Feature Overview</w:t>
      </w:r>
    </w:p>
    <w:p>
      <w:pPr>
        <w:spacing w:line="276" w:lineRule="auto" w:after="200"/>
      </w:pPr>
      <w:r>
        <w:t>Sync Wallet is engineered as a modular, enterprise-grade fintech and Web3 platform consisting of three core sub-packages: the React Native SDK, the Express/MongoDB Backend API, and the Fashion Crypto Store demo application.</w:t>
      </w:r>
    </w:p>
    <w:p>
      <w:pPr>
        <w:spacing w:before="120" w:after="80"/>
        <w:jc w:val="center"/>
      </w:pPr>
      <w:r>
        <w:drawing>
          <wp:inline xmlns:a="http://schemas.openxmlformats.org/drawingml/2006/main" xmlns:pic="http://schemas.openxmlformats.org/drawingml/2006/picture">
            <wp:extent cx="5943600" cy="3696020"/>
            <wp:docPr id="1" name="Picture 1"/>
            <wp:cNvGraphicFramePr>
              <a:graphicFrameLocks noChangeAspect="1"/>
            </wp:cNvGraphicFramePr>
            <a:graphic>
              <a:graphicData uri="http://schemas.openxmlformats.org/drawingml/2006/picture">
                <pic:pic>
                  <pic:nvPicPr>
                    <pic:cNvPr id="0" name="sync_architecture_diagram.png"/>
                    <pic:cNvPicPr/>
                  </pic:nvPicPr>
                  <pic:blipFill>
                    <a:blip r:embed="rId11"/>
                    <a:stretch>
                      <a:fillRect/>
                    </a:stretch>
                  </pic:blipFill>
                  <pic:spPr>
                    <a:xfrm>
                      <a:off x="0" y="0"/>
                      <a:ext cx="5943600" cy="3696020"/>
                    </a:xfrm>
                    <a:prstGeom prst="rect"/>
                  </pic:spPr>
                </pic:pic>
              </a:graphicData>
            </a:graphic>
          </wp:inline>
        </w:drawing>
      </w:r>
    </w:p>
    <w:p>
      <w:pPr>
        <w:spacing w:before="0" w:after="240"/>
        <w:jc w:val="center"/>
      </w:pPr>
      <w:r>
        <w:rPr>
          <w:i/>
          <w:color w:val="718096"/>
          <w:sz w:val="17"/>
        </w:rPr>
        <w:t>Figure 1.0: Complete Architectural Overview of Sync Wallet Client, Backend, and Infrastructure Layers</w:t>
      </w:r>
    </w:p>
    <w:tbl>
      <w:tblPr>
        <w:tblW w:type="auto" w:w="0"/>
        <w:jc w:val="center"/>
        <w:tblLayout w:type="fixed"/>
        <w:tblLook w:firstColumn="1" w:firstRow="1" w:lastColumn="0" w:lastRow="0" w:noHBand="0" w:noVBand="1" w:val="04A0"/>
        <w:tblBorders>
          <w:top w:val="single" w:sz="4" w:space="0" w:color="CCCCCC"/>
          <w:bottom w:val="single" w:sz="4" w:space="0" w:color="CCCCCC"/>
          <w:insideH w:val="single" w:sz="4" w:space="0" w:color="CCCCCC"/>
          <w:insideV w:val="none"/>
          <w:left w:val="none"/>
          <w:right w:val="none"/>
        </w:tblBorders>
      </w:tblPr>
      <w:tblGrid>
        <w:gridCol w:w="2448"/>
        <w:gridCol w:w="2448"/>
        <w:gridCol w:w="2448"/>
        <w:gridCol w:w="2448"/>
      </w:tblGrid>
      <w:tr>
        <w:tc>
          <w:tcPr>
            <w:tcW w:type="dxa" w:w="2160"/>
            <w:shd w:fill="1A365D"/>
            <w:tcMar>
              <w:top w:w="100" w:type="dxa"/>
              <w:bottom w:w="100" w:type="dxa"/>
              <w:left w:w="120" w:type="dxa"/>
              <w:right w:w="120" w:type="dxa"/>
            </w:tcMar>
          </w:tcPr>
          <w:p>
            <w:r>
              <w:rPr>
                <w:b/>
                <w:color w:val="FFFFFF"/>
                <w:sz w:val="19"/>
              </w:rPr>
              <w:t>Sub-Package</w:t>
            </w:r>
          </w:p>
        </w:tc>
        <w:tc>
          <w:tcPr>
            <w:tcW w:type="dxa" w:w="2160"/>
            <w:shd w:fill="1A365D"/>
            <w:tcMar>
              <w:top w:w="100" w:type="dxa"/>
              <w:bottom w:w="100" w:type="dxa"/>
              <w:left w:w="120" w:type="dxa"/>
              <w:right w:w="120" w:type="dxa"/>
            </w:tcMar>
          </w:tcPr>
          <w:p>
            <w:r>
              <w:rPr>
                <w:b/>
                <w:color w:val="FFFFFF"/>
                <w:sz w:val="19"/>
              </w:rPr>
              <w:t>Directory Path</w:t>
            </w:r>
          </w:p>
        </w:tc>
        <w:tc>
          <w:tcPr>
            <w:tcW w:type="dxa" w:w="2880"/>
            <w:shd w:fill="1A365D"/>
            <w:tcMar>
              <w:top w:w="100" w:type="dxa"/>
              <w:bottom w:w="100" w:type="dxa"/>
              <w:left w:w="120" w:type="dxa"/>
              <w:right w:w="120" w:type="dxa"/>
            </w:tcMar>
          </w:tcPr>
          <w:p>
            <w:r>
              <w:rPr>
                <w:b/>
                <w:color w:val="FFFFFF"/>
                <w:sz w:val="19"/>
              </w:rPr>
              <w:t>Core Purpose</w:t>
            </w:r>
          </w:p>
        </w:tc>
        <w:tc>
          <w:tcPr>
            <w:tcW w:type="dxa" w:w="2160"/>
            <w:shd w:fill="1A365D"/>
            <w:tcMar>
              <w:top w:w="100" w:type="dxa"/>
              <w:bottom w:w="100" w:type="dxa"/>
              <w:left w:w="120" w:type="dxa"/>
              <w:right w:w="120" w:type="dxa"/>
            </w:tcMar>
          </w:tcPr>
          <w:p>
            <w:r>
              <w:rPr>
                <w:b/>
                <w:color w:val="FFFFFF"/>
                <w:sz w:val="19"/>
              </w:rPr>
              <w:t>Technology Stack</w:t>
            </w:r>
          </w:p>
        </w:tc>
      </w:tr>
      <w:tr>
        <w:tc>
          <w:tcPr>
            <w:tcW w:type="dxa" w:w="2160"/>
            <w:shd w:fill="FFFFFF"/>
            <w:tcMar>
              <w:top w:w="80" w:type="dxa"/>
              <w:bottom w:w="80" w:type="dxa"/>
              <w:left w:w="100" w:type="dxa"/>
              <w:right w:w="100" w:type="dxa"/>
            </w:tcMar>
          </w:tcPr>
          <w:p>
            <w:pPr>
              <w:spacing w:line="264" w:lineRule="auto"/>
            </w:pPr>
            <w:r>
              <w:rPr>
                <w:color w:val="2D3748"/>
                <w:sz w:val="18"/>
              </w:rPr>
              <w:t>@token-wallet/react-native-sdk</w:t>
            </w:r>
          </w:p>
        </w:tc>
        <w:tc>
          <w:tcPr>
            <w:tcW w:type="dxa" w:w="2160"/>
            <w:shd w:fill="FFFFFF"/>
            <w:tcMar>
              <w:top w:w="80" w:type="dxa"/>
              <w:bottom w:w="80" w:type="dxa"/>
              <w:left w:w="100" w:type="dxa"/>
              <w:right w:w="100" w:type="dxa"/>
            </w:tcMar>
          </w:tcPr>
          <w:p>
            <w:pPr>
              <w:spacing w:line="264" w:lineRule="auto"/>
            </w:pPr>
            <w:r>
              <w:rPr>
                <w:color w:val="2D3748"/>
                <w:sz w:val="18"/>
              </w:rPr>
              <w:t>Sync-React-Native-master/</w:t>
            </w:r>
          </w:p>
        </w:tc>
        <w:tc>
          <w:tcPr>
            <w:tcW w:type="dxa" w:w="2880"/>
            <w:shd w:fill="FFFFFF"/>
            <w:tcMar>
              <w:top w:w="80" w:type="dxa"/>
              <w:bottom w:w="80" w:type="dxa"/>
              <w:left w:w="100" w:type="dxa"/>
              <w:right w:w="100" w:type="dxa"/>
            </w:tcMar>
          </w:tcPr>
          <w:p>
            <w:pPr>
              <w:spacing w:line="264" w:lineRule="auto"/>
            </w:pPr>
            <w:r>
              <w:rPr>
                <w:color w:val="2D3748"/>
                <w:sz w:val="18"/>
              </w:rPr>
              <w:t>Published embeddable Web3/Fintech SDK with pre-built UI components, hooks, and hardware key management.</w:t>
            </w:r>
          </w:p>
        </w:tc>
        <w:tc>
          <w:tcPr>
            <w:tcW w:type="dxa" w:w="2160"/>
            <w:shd w:fill="FFFFFF"/>
            <w:tcMar>
              <w:top w:w="80" w:type="dxa"/>
              <w:bottom w:w="80" w:type="dxa"/>
              <w:left w:w="100" w:type="dxa"/>
              <w:right w:w="100" w:type="dxa"/>
            </w:tcMar>
          </w:tcPr>
          <w:p>
            <w:pPr>
              <w:spacing w:line="264" w:lineRule="auto"/>
            </w:pPr>
            <w:r>
              <w:rPr>
                <w:color w:val="2D3748"/>
                <w:sz w:val="18"/>
              </w:rPr>
              <w:t>TypeScript, React Native, @solana/web3.js, Expo Secure Store</w:t>
            </w:r>
          </w:p>
        </w:tc>
      </w:tr>
      <w:tr>
        <w:tc>
          <w:tcPr>
            <w:tcW w:type="dxa" w:w="2160"/>
            <w:shd w:fill="F7FAFC"/>
            <w:tcMar>
              <w:top w:w="80" w:type="dxa"/>
              <w:bottom w:w="80" w:type="dxa"/>
              <w:left w:w="100" w:type="dxa"/>
              <w:right w:w="100" w:type="dxa"/>
            </w:tcMar>
          </w:tcPr>
          <w:p>
            <w:pPr>
              <w:spacing w:line="264" w:lineRule="auto"/>
            </w:pPr>
            <w:r>
              <w:rPr>
                <w:color w:val="2D3748"/>
                <w:sz w:val="18"/>
              </w:rPr>
              <w:t>sync-backend</w:t>
            </w:r>
          </w:p>
        </w:tc>
        <w:tc>
          <w:tcPr>
            <w:tcW w:type="dxa" w:w="2160"/>
            <w:shd w:fill="F7FAFC"/>
            <w:tcMar>
              <w:top w:w="80" w:type="dxa"/>
              <w:bottom w:w="80" w:type="dxa"/>
              <w:left w:w="100" w:type="dxa"/>
              <w:right w:w="100" w:type="dxa"/>
            </w:tcMar>
          </w:tcPr>
          <w:p>
            <w:pPr>
              <w:spacing w:line="264" w:lineRule="auto"/>
            </w:pPr>
            <w:r>
              <w:rPr>
                <w:color w:val="2D3748"/>
                <w:sz w:val="18"/>
              </w:rPr>
              <w:t>sync-backend/</w:t>
            </w:r>
          </w:p>
        </w:tc>
        <w:tc>
          <w:tcPr>
            <w:tcW w:type="dxa" w:w="2880"/>
            <w:shd w:fill="F7FAFC"/>
            <w:tcMar>
              <w:top w:w="80" w:type="dxa"/>
              <w:bottom w:w="80" w:type="dxa"/>
              <w:left w:w="100" w:type="dxa"/>
              <w:right w:w="100" w:type="dxa"/>
            </w:tcMar>
          </w:tcPr>
          <w:p>
            <w:pPr>
              <w:spacing w:line="264" w:lineRule="auto"/>
            </w:pPr>
            <w:r>
              <w:rPr>
                <w:color w:val="2D3748"/>
                <w:sz w:val="18"/>
              </w:rPr>
              <w:t>High-security REST API for session auth, non-custodial challenges, ledger, security profiles, and webhooks.</w:t>
            </w:r>
          </w:p>
        </w:tc>
        <w:tc>
          <w:tcPr>
            <w:tcW w:type="dxa" w:w="2160"/>
            <w:shd w:fill="F7FAFC"/>
            <w:tcMar>
              <w:top w:w="80" w:type="dxa"/>
              <w:bottom w:w="80" w:type="dxa"/>
              <w:left w:w="100" w:type="dxa"/>
              <w:right w:w="100" w:type="dxa"/>
            </w:tcMar>
          </w:tcPr>
          <w:p>
            <w:pPr>
              <w:spacing w:line="264" w:lineRule="auto"/>
            </w:pPr>
            <w:r>
              <w:rPr>
                <w:color w:val="2D3748"/>
                <w:sz w:val="18"/>
              </w:rPr>
              <w:t>Node.js, Express, TypeScript, MongoDB (Mongoose), Prisma, Redis</w:t>
            </w:r>
          </w:p>
        </w:tc>
      </w:tr>
      <w:tr>
        <w:tc>
          <w:tcPr>
            <w:tcW w:type="dxa" w:w="2160"/>
            <w:shd w:fill="FFFFFF"/>
            <w:tcMar>
              <w:top w:w="80" w:type="dxa"/>
              <w:bottom w:w="80" w:type="dxa"/>
              <w:left w:w="100" w:type="dxa"/>
              <w:right w:w="100" w:type="dxa"/>
            </w:tcMar>
          </w:tcPr>
          <w:p>
            <w:pPr>
              <w:spacing w:line="264" w:lineRule="auto"/>
            </w:pPr>
            <w:r>
              <w:rPr>
                <w:color w:val="2D3748"/>
                <w:sz w:val="18"/>
              </w:rPr>
              <w:t>fashion-crypto-store</w:t>
            </w:r>
          </w:p>
        </w:tc>
        <w:tc>
          <w:tcPr>
            <w:tcW w:type="dxa" w:w="2160"/>
            <w:shd w:fill="FFFFFF"/>
            <w:tcMar>
              <w:top w:w="80" w:type="dxa"/>
              <w:bottom w:w="80" w:type="dxa"/>
              <w:left w:w="100" w:type="dxa"/>
              <w:right w:w="100" w:type="dxa"/>
            </w:tcMar>
          </w:tcPr>
          <w:p>
            <w:pPr>
              <w:spacing w:line="264" w:lineRule="auto"/>
            </w:pPr>
            <w:r>
              <w:rPr>
                <w:color w:val="2D3748"/>
                <w:sz w:val="18"/>
              </w:rPr>
              <w:t>Sync-demo-master/</w:t>
            </w:r>
          </w:p>
        </w:tc>
        <w:tc>
          <w:tcPr>
            <w:tcW w:type="dxa" w:w="2880"/>
            <w:shd w:fill="FFFFFF"/>
            <w:tcMar>
              <w:top w:w="80" w:type="dxa"/>
              <w:bottom w:w="80" w:type="dxa"/>
              <w:left w:w="100" w:type="dxa"/>
              <w:right w:w="100" w:type="dxa"/>
            </w:tcMar>
          </w:tcPr>
          <w:p>
            <w:pPr>
              <w:spacing w:line="264" w:lineRule="auto"/>
            </w:pPr>
            <w:r>
              <w:rPr>
                <w:color w:val="2D3748"/>
                <w:sz w:val="18"/>
              </w:rPr>
              <w:t>Full luxury lifestyle e-commerce application demonstrating multi-rail checkout via PayWithSync.</w:t>
            </w:r>
          </w:p>
        </w:tc>
        <w:tc>
          <w:tcPr>
            <w:tcW w:type="dxa" w:w="2160"/>
            <w:shd w:fill="FFFFFF"/>
            <w:tcMar>
              <w:top w:w="80" w:type="dxa"/>
              <w:bottom w:w="80" w:type="dxa"/>
              <w:left w:w="100" w:type="dxa"/>
              <w:right w:w="100" w:type="dxa"/>
            </w:tcMar>
          </w:tcPr>
          <w:p>
            <w:pPr>
              <w:spacing w:line="264" w:lineRule="auto"/>
            </w:pPr>
            <w:r>
              <w:rPr>
                <w:color w:val="2D3748"/>
                <w:sz w:val="18"/>
              </w:rPr>
              <w:t>React Native, Expo, React Context, TypeScript</w:t>
            </w:r>
          </w:p>
        </w:tc>
      </w:tr>
    </w:tbl>
    <w:p>
      <w:pPr>
        <w:spacing w:before="120"/>
      </w:pPr>
    </w:p>
    <w:p>
      <w:pPr>
        <w:pStyle w:val="Heading2"/>
        <w:spacing w:before="280" w:after="120"/>
      </w:pPr>
      <w:r>
        <w:t>1.1 Cryptographic Key Management &amp; Non-Custodial Architecture</w:t>
      </w:r>
    </w:p>
    <w:p>
      <w:pPr>
        <w:pStyle w:val="ListBullet"/>
        <w:spacing w:before="0" w:after="60" w:line="276" w:lineRule="auto"/>
      </w:pPr>
      <w:r>
        <w:rPr>
          <w:b/>
          <w:color w:val="1A365D"/>
        </w:rPr>
        <w:t xml:space="preserve">Hardware-Backed Enclave Storage: </w:t>
      </w:r>
      <w:r>
        <w:rPr>
          <w:color w:val="2D3748"/>
        </w:rPr>
        <w:t>Private keys, mnemonic seed phrases, and keypairs are generated and stored exclusively on the client device using platform hardware security (expo-secure-store / react-native-encrypted-storage). The architecture uses chunked authenticated encryption to prevent single-point key compromise.</w:t>
      </w:r>
    </w:p>
    <w:p>
      <w:pPr>
        <w:pStyle w:val="ListBullet"/>
        <w:spacing w:before="0" w:after="60" w:line="276" w:lineRule="auto"/>
      </w:pPr>
      <w:r>
        <w:rPr>
          <w:b/>
          <w:color w:val="1A365D"/>
        </w:rPr>
        <w:t xml:space="preserve">Non-Custodial Ownership Verification: </w:t>
      </w:r>
      <w:r>
        <w:rPr>
          <w:color w:val="2D3748"/>
        </w:rPr>
        <w:t>The backend never creates or holds user private keys. Wallet association requires an on-device signature over a single-use, time-bound cryptographic challenge (/api/v1/wallets/challenge) using Ed25519 for Solana.</w:t>
      </w:r>
    </w:p>
    <w:p>
      <w:pPr>
        <w:pStyle w:val="ListBullet"/>
        <w:spacing w:before="0" w:after="60" w:line="276" w:lineRule="auto"/>
      </w:pPr>
      <w:r>
        <w:rPr>
          <w:b/>
          <w:color w:val="1A365D"/>
        </w:rPr>
        <w:t xml:space="preserve">Zero-Knowledge Encrypted Cloud Backup &amp; Recovery: </w:t>
      </w:r>
      <w:r>
        <w:rPr>
          <w:color w:val="2D3748"/>
        </w:rPr>
        <w:t>Users can back up their seed phrases securely. The SDK encrypts the mnemonic on the client with AES-GCM and PBKDF2 before uploading the ciphertext envelope (/api/v1/wallet-recovery/backup). Plaintext keys never touch the network.</w:t>
      </w:r>
    </w:p>
    <w:p>
      <w:pPr>
        <w:pStyle w:val="ListBullet"/>
        <w:spacing w:before="0" w:after="60" w:line="276" w:lineRule="auto"/>
      </w:pPr>
      <w:r>
        <w:rPr>
          <w:b/>
          <w:color w:val="1A365D"/>
        </w:rPr>
        <w:t xml:space="preserve">Multi-Chain Capabilities: </w:t>
      </w:r>
      <w:r>
        <w:rPr>
          <w:color w:val="2D3748"/>
        </w:rPr>
        <w:t>Primary active operations run on Solana (native SOL, SPL tokens, sponsored gasless transactions). Schemas and architectural capabilities are configured for EVM (Ethereum, Polygon, BSC, Arbitrum, Optimism, Avalanche), Bitcoin (PSBT &amp; Ordinals/Runes), Hedera, and XRP.</w:t>
      </w:r>
    </w:p>
    <w:p>
      <w:pPr>
        <w:pStyle w:val="ListBullet"/>
        <w:spacing w:before="0" w:after="60" w:line="276" w:lineRule="auto"/>
      </w:pPr>
      <w:r>
        <w:rPr>
          <w:b/>
          <w:color w:val="1A365D"/>
        </w:rPr>
        <w:t xml:space="preserve">Portfolio Analytics &amp; Asset Tracking: </w:t>
      </w:r>
      <w:r>
        <w:rPr>
          <w:color w:val="2D3748"/>
        </w:rPr>
        <w:t>Real-time balance streaming, net worth historical charts (/api/v1/wallet-features/portfolio), token watchlists with live pricing, and recipient address book management.</w:t>
      </w:r>
    </w:p>
    <w:p>
      <w:pPr>
        <w:pStyle w:val="ListBullet"/>
        <w:spacing w:before="0" w:after="60" w:line="276" w:lineRule="auto"/>
      </w:pPr>
      <w:r>
        <w:rPr>
          <w:b/>
          <w:color w:val="1A365D"/>
        </w:rPr>
        <w:t xml:space="preserve">QR Code Engine: </w:t>
      </w:r>
      <w:r>
        <w:rPr>
          <w:color w:val="2D3748"/>
        </w:rPr>
        <w:t>Dynamic QR code generator supporting Solana Pay URI specifications and integrated camera scanner for instant payment link resolution.</w:t>
      </w:r>
    </w:p>
    <w:p>
      <w:pPr>
        <w:pStyle w:val="Heading2"/>
        <w:spacing w:before="280" w:after="120"/>
      </w:pPr>
      <w:r>
        <w:t>1.2 Enterprise Security, Authentication &amp; Step-Up Claims</w:t>
      </w:r>
    </w:p>
    <w:p>
      <w:pPr>
        <w:pStyle w:val="ListBullet"/>
        <w:spacing w:before="0" w:after="60" w:line="276" w:lineRule="auto"/>
      </w:pPr>
      <w:r>
        <w:rPr>
          <w:b/>
          <w:color w:val="1A365D"/>
        </w:rPr>
        <w:t xml:space="preserve">Dual-Token JWT &amp; Rotating Sessions: </w:t>
      </w:r>
      <w:r>
        <w:rPr>
          <w:color w:val="2D3748"/>
        </w:rPr>
        <w:t>Stateless JWT access tokens paired with rotating, cryptographically hashed refresh tokens. Automatic silent token refresh via SDK Axios interceptors.</w:t>
      </w:r>
    </w:p>
    <w:p>
      <w:pPr>
        <w:pStyle w:val="ListBullet"/>
        <w:spacing w:before="0" w:after="60" w:line="276" w:lineRule="auto"/>
      </w:pPr>
      <w:r>
        <w:rPr>
          <w:b/>
          <w:color w:val="1A365D"/>
        </w:rPr>
        <w:t xml:space="preserve">Step-Up Authentication Claims: </w:t>
      </w:r>
      <w:r>
        <w:rPr>
          <w:color w:val="2D3748"/>
        </w:rPr>
        <w:t>High-risk financial actions (outbound transfers, backup envelope downloads, payment refunds, loyalty tier modifications) enforce a freshly verified Step-Up claim within a strict sliding time window.</w:t>
      </w:r>
    </w:p>
    <w:p>
      <w:pPr>
        <w:pStyle w:val="ListBullet"/>
        <w:spacing w:before="0" w:after="60" w:line="276" w:lineRule="auto"/>
      </w:pPr>
      <w:r>
        <w:rPr>
          <w:b/>
          <w:color w:val="1A365D"/>
        </w:rPr>
        <w:t xml:space="preserve">FIDO2 / Passkeys (WebAuthn) &amp; Hardware Biometrics: </w:t>
      </w:r>
      <w:r>
        <w:rPr>
          <w:color w:val="2D3748"/>
        </w:rPr>
        <w:t>Integrated FaceID, TouchID, and WebAuthn Passkeys (/api/v1/biometrics/passkeys/*) for cryptographic hardware-bound authorization.</w:t>
      </w:r>
    </w:p>
    <w:p>
      <w:pPr>
        <w:pStyle w:val="ListBullet"/>
        <w:spacing w:before="0" w:after="60" w:line="276" w:lineRule="auto"/>
      </w:pPr>
      <w:r>
        <w:rPr>
          <w:b/>
          <w:color w:val="1A365D"/>
        </w:rPr>
        <w:t xml:space="preserve">Two-Factor Authentication (2FA / TOTP): </w:t>
      </w:r>
      <w:r>
        <w:rPr>
          <w:color w:val="2D3748"/>
        </w:rPr>
        <w:t>Built-in RFC 6238 TOTP (Google Authenticator, Authy) with encrypted secret storage, recovery codes, and dynamic QR setup (/api/v1/security/2fa/*).</w:t>
      </w:r>
    </w:p>
    <w:p>
      <w:pPr>
        <w:pStyle w:val="ListBullet"/>
        <w:spacing w:before="0" w:after="60" w:line="276" w:lineRule="auto"/>
      </w:pPr>
      <w:r>
        <w:rPr>
          <w:b/>
          <w:color w:val="1A365D"/>
        </w:rPr>
        <w:t xml:space="preserve">Security Profiles &amp; Device Trust Management: </w:t>
      </w:r>
      <w:r>
        <w:rPr>
          <w:color w:val="2D3748"/>
        </w:rPr>
        <w:t>Hardware device fingerprinting, user-managed IP allowlists (IPWhitelistManager), and an immutable security audit event log (SecurityAuditEvent) tracking authentication anomalies.</w:t>
      </w:r>
    </w:p>
    <w:p>
      <w:pPr>
        <w:pStyle w:val="ListBullet"/>
        <w:spacing w:before="0" w:after="60" w:line="276" w:lineRule="auto"/>
      </w:pPr>
      <w:r>
        <w:rPr>
          <w:b/>
          <w:color w:val="1A365D"/>
        </w:rPr>
        <w:t xml:space="preserve">Distributed Rate Limiting: </w:t>
      </w:r>
      <w:r>
        <w:rPr>
          <w:color w:val="2D3748"/>
        </w:rPr>
        <w:t>Keyed distributed limiters on authentication attempts, passkeys, financial intents, and RPC relays to prevent brute-force attacks and abuse.</w:t>
      </w:r>
    </w:p>
    <w:p>
      <w:pPr>
        <w:pStyle w:val="Heading2"/>
        <w:spacing w:before="280" w:after="120"/>
      </w:pPr>
      <w:r>
        <w:t>1.3 Payment Rails &amp; Merchant Checkout (PayWithSync)</w:t>
      </w:r>
    </w:p>
    <w:p>
      <w:pPr>
        <w:pStyle w:val="ListBullet"/>
        <w:spacing w:before="0" w:after="60" w:line="276" w:lineRule="auto"/>
      </w:pPr>
      <w:r>
        <w:rPr>
          <w:b/>
          <w:color w:val="1A365D"/>
        </w:rPr>
        <w:t xml:space="preserve">Solana Sponsored Crypto Checkout: </w:t>
      </w:r>
      <w:r>
        <w:rPr>
          <w:color w:val="2D3748"/>
        </w:rPr>
        <w:t>Zero-gas user experience where the backend fee-payer service sponsors SOL transaction fees. Instant settlement for USDC, USDT, SOL, and custom tokens with Helius webhook verification.</w:t>
      </w:r>
    </w:p>
    <w:p>
      <w:pPr>
        <w:pStyle w:val="ListBullet"/>
        <w:spacing w:before="0" w:after="60" w:line="276" w:lineRule="auto"/>
      </w:pPr>
      <w:r>
        <w:rPr>
          <w:b/>
          <w:color w:val="1A365D"/>
        </w:rPr>
        <w:t xml:space="preserve">Shareable Payment Links: </w:t>
      </w:r>
      <w:r>
        <w:rPr>
          <w:color w:val="2D3748"/>
        </w:rPr>
        <w:t>Public payment link system (/api/v1/crypto-checkout/link/*) with claimable balances, single/multi-use controls, and instant mobile deep linking.</w:t>
      </w:r>
    </w:p>
    <w:p>
      <w:pPr>
        <w:pStyle w:val="ListBullet"/>
        <w:spacing w:before="0" w:after="60" w:line="276" w:lineRule="auto"/>
      </w:pPr>
      <w:r>
        <w:rPr>
          <w:b/>
          <w:color w:val="1A365D"/>
        </w:rPr>
        <w:t xml:space="preserve">Clover Hosted Checkout Integration: </w:t>
      </w:r>
      <w:r>
        <w:rPr>
          <w:color w:val="2D3748"/>
        </w:rPr>
        <w:t>Production-grade Hosted Checkout session creation, integer minor-unit amount handling, HMAC-SHA256 Clover-Signature webhook verification, 5-minute replay window protection, and TeleCheck ACH gating.</w:t>
      </w:r>
    </w:p>
    <w:p>
      <w:pPr>
        <w:pStyle w:val="ListBullet"/>
        <w:spacing w:before="0" w:after="60" w:line="276" w:lineRule="auto"/>
      </w:pPr>
      <w:r>
        <w:rPr>
          <w:b/>
          <w:color w:val="1A365D"/>
        </w:rPr>
        <w:t xml:space="preserve">CLIQ Banking &amp; Card Engine: </w:t>
      </w:r>
      <w:r>
        <w:rPr>
          <w:color w:val="2D3748"/>
        </w:rPr>
        <w:t>Preserved full banking adapter supporting tokenized account linking, micro-deposit verification, one-time/recurring ACH debits, credit card tokenization, and subscription billing.</w:t>
      </w:r>
    </w:p>
    <w:p>
      <w:pPr>
        <w:pStyle w:val="ListBullet"/>
        <w:spacing w:before="0" w:after="60" w:line="276" w:lineRule="auto"/>
      </w:pPr>
      <w:r>
        <w:rPr>
          <w:b/>
          <w:color w:val="1A365D"/>
        </w:rPr>
        <w:t xml:space="preserve">In-App Store Credit Ledger: </w:t>
      </w:r>
      <w:r>
        <w:rPr>
          <w:color w:val="2D3748"/>
        </w:rPr>
        <w:t>Authoritative double-entry virtual credit ledger (CreditAccount &amp; CreditLedgerEntry) for instant zero-fee merchant credits, promo rewards, and refund balances.</w:t>
      </w:r>
    </w:p>
    <w:p>
      <w:pPr>
        <w:pStyle w:val="Heading2"/>
        <w:spacing w:before="280" w:after="120"/>
      </w:pPr>
      <w:r>
        <w:t>1.4 Web3 DeFi Aggregation &amp; Magic Eden NFT Marketplace</w:t>
      </w:r>
    </w:p>
    <w:p>
      <w:pPr>
        <w:pStyle w:val="ListBullet"/>
        <w:spacing w:before="0" w:after="60" w:line="276" w:lineRule="auto"/>
      </w:pPr>
      <w:r>
        <w:rPr>
          <w:b/>
          <w:color w:val="1A365D"/>
        </w:rPr>
        <w:t xml:space="preserve">Jupiter DEX Swap V2: </w:t>
      </w:r>
      <w:r>
        <w:rPr>
          <w:color w:val="2D3748"/>
        </w:rPr>
        <w:t>Integrated Solana swap aggregator providing real-time quotes, slippage protection, and secure on-device transaction signing (/api/v1/defi/swaps/*).</w:t>
      </w:r>
    </w:p>
    <w:p>
      <w:pPr>
        <w:pStyle w:val="ListBullet"/>
        <w:spacing w:before="0" w:after="60" w:line="276" w:lineRule="auto"/>
      </w:pPr>
      <w:r>
        <w:rPr>
          <w:b/>
          <w:color w:val="1A365D"/>
        </w:rPr>
        <w:t xml:space="preserve">Jupiter Earn &amp; Lending: </w:t>
      </w:r>
      <w:r>
        <w:rPr>
          <w:color w:val="2D3748"/>
        </w:rPr>
        <w:t>Direct access to Solana yield positions and lending contracts with real-time APY tracking (/api/v1/defi/earn/*).</w:t>
      </w:r>
    </w:p>
    <w:p>
      <w:pPr>
        <w:pStyle w:val="ListBullet"/>
        <w:spacing w:before="0" w:after="60" w:line="276" w:lineRule="auto"/>
      </w:pPr>
      <w:r>
        <w:rPr>
          <w:b/>
          <w:color w:val="1A365D"/>
        </w:rPr>
        <w:t xml:space="preserve">DeFi Market Intelligence: </w:t>
      </w:r>
      <w:r>
        <w:rPr>
          <w:color w:val="2D3748"/>
        </w:rPr>
        <w:t>Live integration with DeFiLlama and Jupiter market feeds for yield opportunity scoring and pool analytics.</w:t>
      </w:r>
    </w:p>
    <w:p>
      <w:pPr>
        <w:pStyle w:val="ListBullet"/>
        <w:spacing w:before="0" w:after="60" w:line="276" w:lineRule="auto"/>
      </w:pPr>
      <w:r>
        <w:rPr>
          <w:b/>
          <w:color w:val="1A365D"/>
        </w:rPr>
        <w:t xml:space="preserve">Magic Eden NFT Integration: </w:t>
      </w:r>
      <w:r>
        <w:rPr>
          <w:color w:val="2D3748"/>
        </w:rPr>
        <w:t>Collection search, trending analytics, floor price tracking, rarity rankings, and in-wallet collectible gallery with client-signed transfer intents (/api/v1/nfts/*).</w:t>
      </w:r>
    </w:p>
    <w:p>
      <w:pPr>
        <w:pStyle w:val="Heading2"/>
        <w:spacing w:before="280" w:after="120"/>
      </w:pPr>
      <w:r>
        <w:t>1.5 Loyalty Engine, Viral Referrals &amp; Presale Launchpad</w:t>
      </w:r>
    </w:p>
    <w:p>
      <w:pPr>
        <w:pStyle w:val="ListBullet"/>
        <w:spacing w:before="0" w:after="60" w:line="276" w:lineRule="auto"/>
      </w:pPr>
      <w:r>
        <w:rPr>
          <w:b/>
          <w:color w:val="1A365D"/>
        </w:rPr>
        <w:t xml:space="preserve">Custom Token Rewards &amp; Programs: </w:t>
      </w:r>
      <w:r>
        <w:rPr>
          <w:color w:val="2D3748"/>
        </w:rPr>
        <w:t>Configurable multi-program loyalty engine supporting custom reward tokens, automated rule triggers (e.g. 5 points per $1 spent), point redemption, and Bronze/Silver/Gold/Platinum tiers (/api/v1/rewards/*).</w:t>
      </w:r>
    </w:p>
    <w:p>
      <w:pPr>
        <w:pStyle w:val="ListBullet"/>
        <w:spacing w:before="0" w:after="60" w:line="276" w:lineRule="auto"/>
      </w:pPr>
      <w:r>
        <w:rPr>
          <w:b/>
          <w:color w:val="1A365D"/>
        </w:rPr>
        <w:t xml:space="preserve">Merchant Offers &amp; Targeted Deals: </w:t>
      </w:r>
      <w:r>
        <w:rPr>
          <w:color w:val="2D3748"/>
        </w:rPr>
        <w:t>Merchant-facing promotional portal (/api/v1/offers/*) for time-limited discounts, claim quotas, and batch conversion tracking.</w:t>
      </w:r>
    </w:p>
    <w:p>
      <w:pPr>
        <w:pStyle w:val="ListBullet"/>
        <w:spacing w:before="0" w:after="60" w:line="276" w:lineRule="auto"/>
      </w:pPr>
      <w:r>
        <w:rPr>
          <w:b/>
          <w:color w:val="1A365D"/>
        </w:rPr>
        <w:t xml:space="preserve">Viral Referral Growth Engine: </w:t>
      </w:r>
      <w:r>
        <w:rPr>
          <w:color w:val="2D3748"/>
        </w:rPr>
        <w:t>Unique referral codes and invite links with real-time timeseries conversion tracking and multi-sided reward payouts (/api/v1/referrals/*).</w:t>
      </w:r>
    </w:p>
    <w:p>
      <w:pPr>
        <w:pStyle w:val="ListBullet"/>
        <w:spacing w:before="0" w:after="60" w:line="276" w:lineRule="auto"/>
      </w:pPr>
      <w:r>
        <w:rPr>
          <w:b/>
          <w:color w:val="1A365D"/>
        </w:rPr>
        <w:t xml:space="preserve">Gamification &amp; Achievements: </w:t>
      </w:r>
      <w:r>
        <w:rPr>
          <w:color w:val="2D3748"/>
        </w:rPr>
        <w:t>Milestone-based user quest system with automated badge issuance and reward credit distribution.</w:t>
      </w:r>
    </w:p>
    <w:p>
      <w:pPr>
        <w:pStyle w:val="ListBullet"/>
        <w:spacing w:before="0" w:after="60" w:line="276" w:lineRule="auto"/>
      </w:pPr>
      <w:r>
        <w:rPr>
          <w:b/>
          <w:color w:val="1A365D"/>
        </w:rPr>
        <w:t xml:space="preserve">Token Presale Launchpad: </w:t>
      </w:r>
      <w:r>
        <w:rPr>
          <w:color w:val="2D3748"/>
        </w:rPr>
        <w:t>End-to-end token presale management supporting multi-tier allocations, purchase orders, and cap tracking (/api/v1/presale/*).</w:t>
      </w:r>
    </w:p>
    <w:p>
      <w:r>
        <w:br w:type="page"/>
      </w:r>
    </w:p>
    <w:p>
      <w:pPr>
        <w:pStyle w:val="Heading1"/>
        <w:spacing w:before="360" w:after="160"/>
      </w:pPr>
      <w:r>
        <w:t>Part 2: Enterprise Banking Partner &amp; Neobank Research</w:t>
      </w:r>
    </w:p>
    <w:p>
      <w:pPr>
        <w:spacing w:line="276" w:lineRule="auto" w:after="200"/>
      </w:pPr>
      <w:r>
        <w:t>To operate as a full-scale financial institution offering fiat deposits, stored-value balances, wholesale-priced ACH origination/receipt, instant real-time clearing (FedNow/RTP), and bidirectional crypto on/off-ramps, Sync Wallet requires a partnership with a regulated, crypto-supportive commercial bank or neobank.</w:t>
      </w:r>
    </w:p>
    <w:tbl>
      <w:tblPr>
        <w:tblW w:type="auto" w:w="0"/>
        <w:jc w:val="center"/>
        <w:tblLayout w:type="fixed"/>
        <w:tblLook w:firstColumn="1" w:firstRow="1" w:lastColumn="0" w:lastRow="0" w:noHBand="0" w:noVBand="1" w:val="04A0"/>
      </w:tblPr>
      <w:tblGrid>
        <w:gridCol w:w="9792"/>
      </w:tblGrid>
      <w:tr>
        <w:tc>
          <w:tcPr>
            <w:tcW w:type="dxa" w:w="9360"/>
            <w:shd w:fill="EDF2F7"/>
            <w:tcMar>
              <w:top w:w="140" w:type="dxa"/>
              <w:bottom w:w="140" w:type="dxa"/>
              <w:left w:w="200" w:type="dxa"/>
              <w:right w:w="160" w:type="dxa"/>
            </w:tcMar>
            <w:tcBorders>
              <w:left w:val="single" w:sz="24" w:space="0" w:color="1A365D"/>
              <w:top w:val="none"/>
              <w:bottom w:val="none"/>
              <w:right w:val="none"/>
            </w:tcBorders>
          </w:tcPr>
          <w:p>
            <w:pPr>
              <w:spacing w:before="40" w:after="80"/>
            </w:pPr>
            <w:r>
              <w:rPr>
                <w:rFonts w:ascii="Calibri" w:hAnsi="Calibri"/>
                <w:b/>
                <w:color w:val="1A365D"/>
                <w:sz w:val="21"/>
              </w:rPr>
              <w:t>📌 WHY DIRECT SPONSOR BANKING MATTERS</w:t>
              <w:br/>
            </w:r>
          </w:p>
          <w:p>
            <w:pPr>
              <w:spacing w:before="0" w:after="60" w:line="276" w:lineRule="auto"/>
            </w:pPr>
            <w:r>
              <w:rPr>
                <w:rFonts w:ascii="Calibri" w:hAnsi="Calibri"/>
                <w:color w:val="2D3748"/>
                <w:sz w:val="20"/>
              </w:rPr>
              <w:t>Direct sponsor banking partnerships provide significant competitive advantages over third-party payment wrappers: wholesale clearing costs (pennies per ACH vs. 1-3% card fees), direct Federal Reserve connectivity (FedNow, Same-Day ACH), dedicated user FBO deposit accounts, and the ability to issue branded physical/virtual debit cards with lucrative interchange revenue share.</w:t>
            </w:r>
          </w:p>
          <w:p>
            <w:pPr>
              <w:spacing w:before="0" w:after="60" w:line="276" w:lineRule="auto"/>
            </w:pPr>
            <w:r>
              <w:rPr>
                <w:rFonts w:ascii="Calibri" w:hAnsi="Calibri"/>
                <w:color w:val="2D3748"/>
                <w:sz w:val="20"/>
              </w:rPr>
              <w:t>The institutions profiled below represent established Tier-1 and Tier-2 commercial banks and developer-first neobanking charters that specialize in digital assets and embedded fintech.</w:t>
            </w:r>
          </w:p>
        </w:tc>
      </w:tr>
    </w:tbl>
    <w:p>
      <w:pPr>
        <w:spacing w:before="80" w:after="80"/>
      </w:pPr>
    </w:p>
    <w:p>
      <w:pPr>
        <w:pStyle w:val="Heading2"/>
        <w:spacing w:before="280" w:after="40"/>
      </w:pPr>
      <w:r>
        <w:t>1. Customers Bank (NYSE: CUBI)</w:t>
      </w:r>
    </w:p>
    <w:p>
      <w:pPr>
        <w:spacing w:before="0" w:after="80"/>
      </w:pPr>
      <w:r>
        <w:rPr>
          <w:b/>
          <w:color w:val="2B6CB0"/>
          <w:sz w:val="19"/>
        </w:rPr>
        <w:t>Tier-1 Commercial Neobank &amp; Digital Asset Settlement Engine  |  $22+ Billion in Assets | State-Chartered (PA) | Member FDIC</w:t>
      </w:r>
    </w:p>
    <w:p>
      <w:pPr>
        <w:spacing w:line="276" w:lineRule="auto" w:after="80"/>
      </w:pPr>
      <w:r>
        <w:rPr>
          <w:color w:val="2D3748"/>
        </w:rPr>
        <w:t>Customers Bank is one of the largest and most established digital-asset-friendly commercial banks in the United States. Following the contraction of Silvergate and Signature, Customers Bank established 'cubiX'—a 24/7/365 instant tokenized payments network that facilitates instantaneous fiat settlement between institutional crypto clients, fintechs, and exchanges.</w:t>
      </w:r>
    </w:p>
    <w:p>
      <w:pPr>
        <w:spacing w:before="40" w:after="40"/>
      </w:pPr>
      <w:r>
        <w:rPr>
          <w:b/>
          <w:color w:val="1A365D"/>
        </w:rPr>
        <w:t>Solution Matrix &amp; Capabilities:</w:t>
      </w:r>
    </w:p>
    <w:p>
      <w:pPr>
        <w:pStyle w:val="ListBullet"/>
        <w:spacing w:before="0" w:after="40" w:line="276" w:lineRule="auto"/>
      </w:pPr>
      <w:r>
        <w:rPr>
          <w:b/>
          <w:color w:val="1A365D"/>
        </w:rPr>
        <w:t xml:space="preserve">User Deposit Accounts &amp; FBO: </w:t>
      </w:r>
      <w:r>
        <w:rPr>
          <w:color w:val="2D3748"/>
        </w:rPr>
        <w:t>Offers multi-tenant For Benefit Of (FBO) master accounts with virtual account sub-ledgering. Each Sync user can receive an individualized virtual account and routing number with FDIC pass-through deposit insurance up to $250,000.</w:t>
      </w:r>
    </w:p>
    <w:p>
      <w:pPr>
        <w:pStyle w:val="ListBullet"/>
        <w:spacing w:before="0" w:after="40" w:line="276" w:lineRule="auto"/>
      </w:pPr>
      <w:r>
        <w:rPr>
          <w:b/>
          <w:color w:val="1A365D"/>
        </w:rPr>
        <w:t xml:space="preserve">Fiat Payment Rails: </w:t>
      </w:r>
      <w:r>
        <w:rPr>
          <w:color w:val="2D3748"/>
        </w:rPr>
        <w:t>Direct connectivity to standard ACH, Same-Day ACH, Fedwire, FedNow (instant 24/7/365 Federal Reserve rail), RTP (The Clearing House), and cubiX 24/7 instant ledger transfers.</w:t>
      </w:r>
    </w:p>
    <w:p>
      <w:pPr>
        <w:pStyle w:val="ListBullet"/>
        <w:spacing w:before="0" w:after="40" w:line="276" w:lineRule="auto"/>
      </w:pPr>
      <w:r>
        <w:rPr>
          <w:b/>
          <w:color w:val="1A365D"/>
        </w:rPr>
        <w:t xml:space="preserve">Crypto On/Off-Ramp Liquidity: </w:t>
      </w:r>
      <w:r>
        <w:rPr>
          <w:color w:val="2D3748"/>
        </w:rPr>
        <w:t>Industry leader in institutional fiat clearing for crypto on-ramps and off-ramps. Direct integration with major market makers and exchanges enables instantaneous settlement of fiat-to-crypto flows.</w:t>
      </w:r>
    </w:p>
    <w:p>
      <w:pPr>
        <w:pStyle w:val="ListBullet"/>
        <w:spacing w:before="0" w:after="40" w:line="276" w:lineRule="auto"/>
      </w:pPr>
      <w:r>
        <w:rPr>
          <w:b/>
          <w:color w:val="1A365D"/>
        </w:rPr>
        <w:t xml:space="preserve">Debit Cards &amp; Treasury Yield: </w:t>
      </w:r>
      <w:r>
        <w:rPr>
          <w:color w:val="2D3748"/>
        </w:rPr>
        <w:t>Full commercial treasury management, automated liquidity sweeps yielding competitive interest on idle fiat reserves, and corporate/consumer card sponsorship.</w:t>
      </w:r>
    </w:p>
    <w:p>
      <w:pPr>
        <w:pStyle w:val="ListBullet"/>
        <w:spacing w:before="0" w:after="40" w:line="276" w:lineRule="auto"/>
      </w:pPr>
      <w:r>
        <w:rPr>
          <w:b/>
          <w:color w:val="1A365D"/>
        </w:rPr>
        <w:t xml:space="preserve">Wholesale Fee Structure: </w:t>
      </w:r>
      <w:r>
        <w:rPr>
          <w:color w:val="2D3748"/>
        </w:rPr>
        <w:t>True wholesale institutional rates: ~$0.03 to $0.15 per ACH transaction (based on volume tiers), $5.00-$10.00 per wire, and low basis-point costs on real-time network transfers.</w:t>
      </w:r>
    </w:p>
    <w:p>
      <w:pPr>
        <w:spacing w:before="40" w:after="200"/>
      </w:pPr>
      <w:r>
        <w:rPr>
          <w:b/>
          <w:color w:val="2B6CB0"/>
        </w:rPr>
        <w:t xml:space="preserve">Strategic Alignment for Sync: </w:t>
      </w:r>
      <w:r>
        <w:rPr>
          <w:color w:val="2D3748"/>
        </w:rPr>
        <w:t>Best suited for Sync Wallet to achieve institutional scale, high-velocity 24/7 fiat settlement, and enterprise-grade FBO deposit account issuance.</w:t>
      </w:r>
    </w:p>
    <w:p>
      <w:pPr>
        <w:pStyle w:val="Heading2"/>
        <w:spacing w:before="280" w:after="40"/>
      </w:pPr>
      <w:r>
        <w:t>2. Cross River Bank</w:t>
      </w:r>
    </w:p>
    <w:p>
      <w:pPr>
        <w:spacing w:before="0" w:after="80"/>
      </w:pPr>
      <w:r>
        <w:rPr>
          <w:b/>
          <w:color w:val="2B6CB0"/>
          <w:sz w:val="19"/>
        </w:rPr>
        <w:t>The Veteran Fintech Sponsor Bank (Coinbase, Circle &amp; Stripe Partner)  |  $10+ Billion in Assets | State-Chartered (NJ) | Member FDIC</w:t>
      </w:r>
    </w:p>
    <w:p>
      <w:pPr>
        <w:spacing w:line="276" w:lineRule="auto" w:after="80"/>
      </w:pPr>
      <w:r>
        <w:rPr>
          <w:color w:val="2D3748"/>
        </w:rPr>
        <w:t>Cross River Bank is the definitive institutional backbone of the US fintech and crypto revolution. It provides the underlying banking infrastructure for Circle (USDC), Coinbase, Stripe, and Affirm. Cross River operates its proprietary 'COS' (Cross River Operating System) API platform, enabling direct software control over Federal Reserve rails and stablecoin minting.</w:t>
      </w:r>
    </w:p>
    <w:p>
      <w:pPr>
        <w:spacing w:before="40" w:after="40"/>
      </w:pPr>
      <w:r>
        <w:rPr>
          <w:b/>
          <w:color w:val="1A365D"/>
        </w:rPr>
        <w:t>Solution Matrix &amp; Capabilities:</w:t>
      </w:r>
    </w:p>
    <w:p>
      <w:pPr>
        <w:pStyle w:val="ListBullet"/>
        <w:spacing w:before="0" w:after="40" w:line="276" w:lineRule="auto"/>
      </w:pPr>
      <w:r>
        <w:rPr>
          <w:b/>
          <w:color w:val="1A365D"/>
        </w:rPr>
        <w:t xml:space="preserve">User Deposit Accounts &amp; FBO: </w:t>
      </w:r>
      <w:r>
        <w:rPr>
          <w:color w:val="2D3748"/>
        </w:rPr>
        <w:t>Complete FBO omnibus account infrastructure with automated real-time sub-ledger reconciliation and FDIC pass-through insurance.</w:t>
      </w:r>
    </w:p>
    <w:p>
      <w:pPr>
        <w:pStyle w:val="ListBullet"/>
        <w:spacing w:before="0" w:after="40" w:line="276" w:lineRule="auto"/>
      </w:pPr>
      <w:r>
        <w:rPr>
          <w:b/>
          <w:color w:val="1A365D"/>
        </w:rPr>
        <w:t xml:space="preserve">Direct Stablecoin Integration: </w:t>
      </w:r>
      <w:r>
        <w:rPr>
          <w:color w:val="2D3748"/>
        </w:rPr>
        <w:t>Deep native integration with Circle's USDC issuance infrastructure. USD deposited via ACH or wire can automatically mint USDC on Solana with zero slippage.</w:t>
      </w:r>
    </w:p>
    <w:p>
      <w:pPr>
        <w:pStyle w:val="ListBullet"/>
        <w:spacing w:before="0" w:after="40" w:line="276" w:lineRule="auto"/>
      </w:pPr>
      <w:r>
        <w:rPr>
          <w:b/>
          <w:color w:val="1A365D"/>
        </w:rPr>
        <w:t xml:space="preserve">Fiat Payment Rails: </w:t>
      </w:r>
      <w:r>
        <w:rPr>
          <w:color w:val="2D3748"/>
        </w:rPr>
        <w:t>Proprietary high-throughput REST APIs for Next-Day ACH, Same-Day ACH, Fedwire, FedNow, RTP, and Cross River's proprietary CRNow instant 24/7 network.</w:t>
      </w:r>
    </w:p>
    <w:p>
      <w:pPr>
        <w:pStyle w:val="ListBullet"/>
        <w:spacing w:before="0" w:after="40" w:line="276" w:lineRule="auto"/>
      </w:pPr>
      <w:r>
        <w:rPr>
          <w:b/>
          <w:color w:val="1A365D"/>
        </w:rPr>
        <w:t xml:space="preserve">Card Issuing &amp; Embedded Lending: </w:t>
      </w:r>
      <w:r>
        <w:rPr>
          <w:color w:val="2D3748"/>
        </w:rPr>
        <w:t>Direct VISA/Mastercard principal member issuing physical and Apple Pay/Google Pay virtual debit cards; embedded consumer credit and lending capabilities.</w:t>
      </w:r>
    </w:p>
    <w:p>
      <w:pPr>
        <w:pStyle w:val="ListBullet"/>
        <w:spacing w:before="0" w:after="40" w:line="276" w:lineRule="auto"/>
      </w:pPr>
      <w:r>
        <w:rPr>
          <w:b/>
          <w:color w:val="1A365D"/>
        </w:rPr>
        <w:t xml:space="preserve">Wholesale Fee Structure: </w:t>
      </w:r>
      <w:r>
        <w:rPr>
          <w:color w:val="2D3748"/>
        </w:rPr>
        <w:t>Highly competitive volume-tiered pricing (~$0.05-$0.12 per ACH), with significant revenue-sharing opportunities on debit card interchange (Durbin-exempt pricing).</w:t>
      </w:r>
    </w:p>
    <w:p>
      <w:pPr>
        <w:spacing w:before="40" w:after="200"/>
      </w:pPr>
      <w:r>
        <w:rPr>
          <w:b/>
          <w:color w:val="2B6CB0"/>
        </w:rPr>
        <w:t xml:space="preserve">Strategic Alignment for Sync: </w:t>
      </w:r>
      <w:r>
        <w:rPr>
          <w:color w:val="2D3748"/>
        </w:rPr>
        <w:t>Ideal partner for Sync Wallet to achieve deep native USDC minting on Solana combined with top-tier debit card issuing and national scale.</w:t>
      </w:r>
    </w:p>
    <w:p>
      <w:pPr>
        <w:pStyle w:val="Heading2"/>
        <w:spacing w:before="280" w:after="40"/>
      </w:pPr>
      <w:r>
        <w:t>3. Lead Bank</w:t>
      </w:r>
    </w:p>
    <w:p>
      <w:pPr>
        <w:spacing w:before="0" w:after="80"/>
      </w:pPr>
      <w:r>
        <w:rPr>
          <w:b/>
          <w:color w:val="2B6CB0"/>
          <w:sz w:val="19"/>
        </w:rPr>
        <w:t>The Developer-First Neobank Charter (Bridge &amp; River Partner)  |  $1+ Billion in Assets | Tech-First Banking Charter (Kansas City, MO) | Member FDIC</w:t>
      </w:r>
    </w:p>
    <w:p>
      <w:pPr>
        <w:spacing w:line="276" w:lineRule="auto" w:after="80"/>
      </w:pPr>
      <w:r>
        <w:rPr>
          <w:color w:val="2D3748"/>
        </w:rPr>
        <w:t>Lead Bank is a modern, technology-forward independent bank operated by seasoned tech and crypto executives. It serves as the primary sponsor bank behind Bridge (Stripe's stablecoin platform), River Financial (Bitcoin), and next-generation Web3 fintechs. Lead Bank built its own cloud-native core to eliminate third-party middleware bottlenecks.</w:t>
      </w:r>
    </w:p>
    <w:p>
      <w:pPr>
        <w:spacing w:before="40" w:after="40"/>
      </w:pPr>
      <w:r>
        <w:rPr>
          <w:b/>
          <w:color w:val="1A365D"/>
        </w:rPr>
        <w:t>Solution Matrix &amp; Capabilities:</w:t>
      </w:r>
    </w:p>
    <w:p>
      <w:pPr>
        <w:pStyle w:val="ListBullet"/>
        <w:spacing w:before="0" w:after="40" w:line="276" w:lineRule="auto"/>
      </w:pPr>
      <w:r>
        <w:rPr>
          <w:b/>
          <w:color w:val="1A365D"/>
        </w:rPr>
        <w:t xml:space="preserve">User Deposit Accounts &amp; FBO: </w:t>
      </w:r>
      <w:r>
        <w:rPr>
          <w:color w:val="2D3748"/>
        </w:rPr>
        <w:t>Sub-second programmatic virtual account generation via clean REST APIs. Individual routing and account numbers for end users with real-time webhook eventing.</w:t>
      </w:r>
    </w:p>
    <w:p>
      <w:pPr>
        <w:pStyle w:val="ListBullet"/>
        <w:spacing w:before="0" w:after="40" w:line="276" w:lineRule="auto"/>
      </w:pPr>
      <w:r>
        <w:rPr>
          <w:b/>
          <w:color w:val="1A365D"/>
        </w:rPr>
        <w:t xml:space="preserve">Fiat Payment Rails: </w:t>
      </w:r>
      <w:r>
        <w:rPr>
          <w:color w:val="2D3748"/>
        </w:rPr>
        <w:t>Direct ACH Origination and Receipt, Same-Day ACH, FedNow, RTP, and domestic Fedwire with sub-second status notifications.</w:t>
      </w:r>
    </w:p>
    <w:p>
      <w:pPr>
        <w:pStyle w:val="ListBullet"/>
        <w:spacing w:before="0" w:after="40" w:line="276" w:lineRule="auto"/>
      </w:pPr>
      <w:r>
        <w:rPr>
          <w:b/>
          <w:color w:val="1A365D"/>
        </w:rPr>
        <w:t xml:space="preserve">Crypto On/Off-Ramp Alignment: </w:t>
      </w:r>
      <w:r>
        <w:rPr>
          <w:color w:val="2D3748"/>
        </w:rPr>
        <w:t>Specifically architected to support crypto-fiat on/off-ramps, stablecoin settlement, and digital asset brokerages without account de-risking fears.</w:t>
      </w:r>
    </w:p>
    <w:p>
      <w:pPr>
        <w:pStyle w:val="ListBullet"/>
        <w:spacing w:before="0" w:after="40" w:line="276" w:lineRule="auto"/>
      </w:pPr>
      <w:r>
        <w:rPr>
          <w:b/>
          <w:color w:val="1A365D"/>
        </w:rPr>
        <w:t xml:space="preserve">Developer Ergonomics &amp; Reliability: </w:t>
      </w:r>
      <w:r>
        <w:rPr>
          <w:color w:val="2D3748"/>
        </w:rPr>
        <w:t>Modern OpenAPI documentation, robust sandbox testing, event-driven webhooks, and direct engineering-to-engineering support.</w:t>
      </w:r>
    </w:p>
    <w:p>
      <w:pPr>
        <w:pStyle w:val="ListBullet"/>
        <w:spacing w:before="0" w:after="40" w:line="276" w:lineRule="auto"/>
      </w:pPr>
      <w:r>
        <w:rPr>
          <w:b/>
          <w:color w:val="1A365D"/>
        </w:rPr>
        <w:t xml:space="preserve">Wholesale Fee Structure: </w:t>
      </w:r>
      <w:r>
        <w:rPr>
          <w:color w:val="2D3748"/>
        </w:rPr>
        <w:t>Transparent usage-based pricing with low minimum program commitments and wholesale ACH clearing costs.</w:t>
      </w:r>
    </w:p>
    <w:p>
      <w:pPr>
        <w:spacing w:before="40" w:after="200"/>
      </w:pPr>
      <w:r>
        <w:rPr>
          <w:b/>
          <w:color w:val="2B6CB0"/>
        </w:rPr>
        <w:t xml:space="preserve">Strategic Alignment for Sync: </w:t>
      </w:r>
      <w:r>
        <w:rPr>
          <w:color w:val="2D3748"/>
        </w:rPr>
        <w:t>The ultimate partner for rapid, modern API integration, programmable virtual deposit accounts, and frictionless Solana on/off-ramp settlement.</w:t>
      </w:r>
    </w:p>
    <w:p>
      <w:pPr>
        <w:pStyle w:val="Heading2"/>
        <w:spacing w:before="280" w:after="40"/>
      </w:pPr>
      <w:r>
        <w:t>4. Sutton Bank</w:t>
      </w:r>
    </w:p>
    <w:p>
      <w:pPr>
        <w:spacing w:before="0" w:after="80"/>
      </w:pPr>
      <w:r>
        <w:rPr>
          <w:b/>
          <w:color w:val="2B6CB0"/>
          <w:sz w:val="19"/>
        </w:rPr>
        <w:t>The Mega-Wallet &amp; Card Issuing Powerhouse (Cash App &amp; Robinhood Partner)  |  $3.5+ Billion in Assets | State-Chartered (OH) | Member FDIC</w:t>
      </w:r>
    </w:p>
    <w:p>
      <w:pPr>
        <w:spacing w:line="276" w:lineRule="auto" w:after="80"/>
      </w:pPr>
      <w:r>
        <w:rPr>
          <w:color w:val="2D3748"/>
        </w:rPr>
        <w:t>Sutton Bank is famously the sponsor bank powering Square Cash App, Robinhood Cash Card, and major Marqeta fintech programs. It is one of the most experienced institutions in the world for consumer digital wallets, P2P money movement, and card programs.</w:t>
      </w:r>
    </w:p>
    <w:p>
      <w:pPr>
        <w:spacing w:before="40" w:after="40"/>
      </w:pPr>
      <w:r>
        <w:rPr>
          <w:b/>
          <w:color w:val="1A365D"/>
        </w:rPr>
        <w:t>Solution Matrix &amp; Capabilities:</w:t>
      </w:r>
    </w:p>
    <w:p>
      <w:pPr>
        <w:pStyle w:val="ListBullet"/>
        <w:spacing w:before="0" w:after="40" w:line="276" w:lineRule="auto"/>
      </w:pPr>
      <w:r>
        <w:rPr>
          <w:b/>
          <w:color w:val="1A365D"/>
        </w:rPr>
        <w:t xml:space="preserve">Digital Wallet Deposit Infrastructure: </w:t>
      </w:r>
      <w:r>
        <w:rPr>
          <w:color w:val="2D3748"/>
        </w:rPr>
        <w:t>Proven, battle-tested FBO architecture capable of managing tens of millions of active digital wallet balances with automated ledger balancing.</w:t>
      </w:r>
    </w:p>
    <w:p>
      <w:pPr>
        <w:pStyle w:val="ListBullet"/>
        <w:spacing w:before="0" w:after="40" w:line="276" w:lineRule="auto"/>
      </w:pPr>
      <w:r>
        <w:rPr>
          <w:b/>
          <w:color w:val="1A365D"/>
        </w:rPr>
        <w:t xml:space="preserve">Payment Rails &amp; Push-to-Card: </w:t>
      </w:r>
      <w:r>
        <w:rPr>
          <w:color w:val="2D3748"/>
        </w:rPr>
        <w:t>Full ACH, Same-Day ACH, Fedwire, and industry-leading Push-to-Card integration (Visa Direct / Mastercard Send) for instant 30-second withdrawals to external debit cards.</w:t>
      </w:r>
    </w:p>
    <w:p>
      <w:pPr>
        <w:pStyle w:val="ListBullet"/>
        <w:spacing w:before="0" w:after="40" w:line="276" w:lineRule="auto"/>
      </w:pPr>
      <w:r>
        <w:rPr>
          <w:b/>
          <w:color w:val="1A365D"/>
        </w:rPr>
        <w:t xml:space="preserve">Card Issuing &amp; Interchange Revenue: </w:t>
      </w:r>
      <w:r>
        <w:rPr>
          <w:color w:val="2D3748"/>
        </w:rPr>
        <w:t>As a sub-$10B institution, Sutton Bank is exempt from the Durbin Amendment interchange cap, allowing Sync to capture up to 1.2% - 1.6% in interchange revenue on every card swipe.</w:t>
      </w:r>
    </w:p>
    <w:p>
      <w:pPr>
        <w:pStyle w:val="ListBullet"/>
        <w:spacing w:before="0" w:after="40" w:line="276" w:lineRule="auto"/>
      </w:pPr>
      <w:r>
        <w:rPr>
          <w:b/>
          <w:color w:val="1A365D"/>
        </w:rPr>
        <w:t xml:space="preserve">Wholesale Fee Structure: </w:t>
      </w:r>
      <w:r>
        <w:rPr>
          <w:color w:val="2D3748"/>
        </w:rPr>
        <w:t>Ultra-competitive per-transaction processing fees heavily offset by generous interchange revenue shares.</w:t>
      </w:r>
    </w:p>
    <w:p>
      <w:pPr>
        <w:spacing w:before="40" w:after="200"/>
      </w:pPr>
      <w:r>
        <w:rPr>
          <w:b/>
          <w:color w:val="2B6CB0"/>
        </w:rPr>
        <w:t xml:space="preserve">Strategic Alignment for Sync: </w:t>
      </w:r>
      <w:r>
        <w:rPr>
          <w:color w:val="2D3748"/>
        </w:rPr>
        <w:t>Best strategic partner if Sync Wallet plans to launch a branded Sync Visa/Mastercard Debit Card and high-speed push-to-card consumer withdrawals.</w:t>
      </w:r>
    </w:p>
    <w:p>
      <w:pPr>
        <w:pStyle w:val="Heading2"/>
        <w:spacing w:before="280" w:after="40"/>
      </w:pPr>
      <w:r>
        <w:t>5. Pathward, N.A. (NASDAQ: CASH)</w:t>
      </w:r>
    </w:p>
    <w:p>
      <w:pPr>
        <w:spacing w:before="0" w:after="80"/>
      </w:pPr>
      <w:r>
        <w:rPr>
          <w:b/>
          <w:color w:val="2B6CB0"/>
          <w:sz w:val="19"/>
        </w:rPr>
        <w:t>National Scale BaaS, Payouts &amp; Consumer Account Giant  |  $7.5+ Billion in Assets | Nationally Chartered (OCC) | Member FDIC</w:t>
      </w:r>
    </w:p>
    <w:p>
      <w:pPr>
        <w:spacing w:line="276" w:lineRule="auto" w:after="80"/>
      </w:pPr>
      <w:r>
        <w:rPr>
          <w:color w:val="2D3748"/>
        </w:rPr>
        <w:t>Pathward (formerly MetaBank) is a massive national bank specializing in BaaS, consumer financial inclusion, tax solutions, and prepaid card sponsorship. It processes hundreds of billions of dollars in annual payments across the US.</w:t>
      </w:r>
    </w:p>
    <w:p>
      <w:pPr>
        <w:spacing w:before="40" w:after="40"/>
      </w:pPr>
      <w:r>
        <w:rPr>
          <w:b/>
          <w:color w:val="1A365D"/>
        </w:rPr>
        <w:t>Solution Matrix &amp; Capabilities:</w:t>
      </w:r>
    </w:p>
    <w:p>
      <w:pPr>
        <w:pStyle w:val="ListBullet"/>
        <w:spacing w:before="0" w:after="40" w:line="276" w:lineRule="auto"/>
      </w:pPr>
      <w:r>
        <w:rPr>
          <w:b/>
          <w:color w:val="1A365D"/>
        </w:rPr>
        <w:t xml:space="preserve">Deposit &amp; Consumer Banking: </w:t>
      </w:r>
      <w:r>
        <w:rPr>
          <w:color w:val="2D3748"/>
        </w:rPr>
        <w:t>Nationally chartered FDIC-insured deposit accounts, regulatory compliance umbrella, and established consumer protection frameworks.</w:t>
      </w:r>
    </w:p>
    <w:p>
      <w:pPr>
        <w:pStyle w:val="ListBullet"/>
        <w:spacing w:before="0" w:after="40" w:line="276" w:lineRule="auto"/>
      </w:pPr>
      <w:r>
        <w:rPr>
          <w:b/>
          <w:color w:val="1A365D"/>
        </w:rPr>
        <w:t xml:space="preserve">Mass Disbursements &amp; High-Velocity ACH: </w:t>
      </w:r>
      <w:r>
        <w:rPr>
          <w:color w:val="2D3748"/>
        </w:rPr>
        <w:t>Industrial-scale ACH origination engine capable of processing millions of batch payouts and debits with automated exception handling.</w:t>
      </w:r>
    </w:p>
    <w:p>
      <w:pPr>
        <w:pStyle w:val="ListBullet"/>
        <w:spacing w:before="0" w:after="40" w:line="276" w:lineRule="auto"/>
      </w:pPr>
      <w:r>
        <w:rPr>
          <w:b/>
          <w:color w:val="1A365D"/>
        </w:rPr>
        <w:t xml:space="preserve">Prepaid &amp; Debit Card Issuing: </w:t>
      </w:r>
      <w:r>
        <w:rPr>
          <w:color w:val="2D3748"/>
        </w:rPr>
        <w:t>Massive turnkey card issuance infrastructure across physical, virtual, and custom form-factor cards.</w:t>
      </w:r>
    </w:p>
    <w:p>
      <w:pPr>
        <w:pStyle w:val="ListBullet"/>
        <w:spacing w:before="0" w:after="40" w:line="276" w:lineRule="auto"/>
      </w:pPr>
      <w:r>
        <w:rPr>
          <w:b/>
          <w:color w:val="1A365D"/>
        </w:rPr>
        <w:t xml:space="preserve">Wholesale Fee Structure: </w:t>
      </w:r>
      <w:r>
        <w:rPr>
          <w:color w:val="2D3748"/>
        </w:rPr>
        <w:t>Lowest per-unit processing costs for ultra-high transaction volumes.</w:t>
      </w:r>
    </w:p>
    <w:p>
      <w:pPr>
        <w:spacing w:before="40" w:after="200"/>
      </w:pPr>
      <w:r>
        <w:rPr>
          <w:b/>
          <w:color w:val="2B6CB0"/>
        </w:rPr>
        <w:t xml:space="preserve">Strategic Alignment for Sync: </w:t>
      </w:r>
      <w:r>
        <w:rPr>
          <w:color w:val="2D3748"/>
        </w:rPr>
        <w:t>Best suited for nationwide enterprise scale, high-volume mass payouts, and comprehensive regulatory program sponsorship.</w:t>
      </w:r>
    </w:p>
    <w:p>
      <w:pPr>
        <w:pStyle w:val="Heading2"/>
        <w:spacing w:before="280" w:after="40"/>
      </w:pPr>
      <w:r>
        <w:t>6. Grasshopper Bank (via Increase / Circle)</w:t>
      </w:r>
    </w:p>
    <w:p>
      <w:pPr>
        <w:spacing w:before="0" w:after="80"/>
      </w:pPr>
      <w:r>
        <w:rPr>
          <w:b/>
          <w:color w:val="2B6CB0"/>
          <w:sz w:val="19"/>
        </w:rPr>
        <w:t>Digital-First National Commercial Bank with 24/7 USDC Settlement  |  $1.2+ Billion in Assets | Nationally Chartered Digital Bank | Member FDIC</w:t>
      </w:r>
    </w:p>
    <w:p>
      <w:pPr>
        <w:spacing w:line="276" w:lineRule="auto" w:after="80"/>
      </w:pPr>
      <w:r>
        <w:rPr>
          <w:color w:val="2D3748"/>
        </w:rPr>
        <w:t>Grasshopper Bank is a New York-based digital commercial bank designed specifically for fintechs, venture-backed companies, and digital assets. In mid-2026, Grasshopper announced an integrated stablecoin clearing pipeline with Circle and Increase, enabling 24/7 USD-to-USDC conversion.</w:t>
      </w:r>
    </w:p>
    <w:p>
      <w:pPr>
        <w:spacing w:before="40" w:after="40"/>
      </w:pPr>
      <w:r>
        <w:rPr>
          <w:b/>
          <w:color w:val="1A365D"/>
        </w:rPr>
        <w:t>Solution Matrix &amp; Capabilities:</w:t>
      </w:r>
    </w:p>
    <w:p>
      <w:pPr>
        <w:pStyle w:val="ListBullet"/>
        <w:spacing w:before="0" w:after="40" w:line="276" w:lineRule="auto"/>
      </w:pPr>
      <w:r>
        <w:rPr>
          <w:b/>
          <w:color w:val="1A365D"/>
        </w:rPr>
        <w:t xml:space="preserve">24/7 Stablecoin Settlement Pipeline: </w:t>
      </w:r>
      <w:r>
        <w:rPr>
          <w:color w:val="2D3748"/>
        </w:rPr>
        <w:t>Directly converts incoming USD deposits into USDC on Solana via automated smart minting.</w:t>
      </w:r>
    </w:p>
    <w:p>
      <w:pPr>
        <w:pStyle w:val="ListBullet"/>
        <w:spacing w:before="0" w:after="40" w:line="276" w:lineRule="auto"/>
      </w:pPr>
      <w:r>
        <w:rPr>
          <w:b/>
          <w:color w:val="1A365D"/>
        </w:rPr>
        <w:t xml:space="preserve">API-Driven Banking via Increase: </w:t>
      </w:r>
      <w:r>
        <w:rPr>
          <w:color w:val="2D3748"/>
        </w:rPr>
        <w:t>Access to the Increase platform API: developer-friendly endpoints for FedNow, RTP, Same-Day ACH, and Fedwire.</w:t>
      </w:r>
    </w:p>
    <w:p>
      <w:pPr>
        <w:pStyle w:val="ListBullet"/>
        <w:spacing w:before="0" w:after="40" w:line="276" w:lineRule="auto"/>
      </w:pPr>
      <w:r>
        <w:rPr>
          <w:b/>
          <w:color w:val="1A365D"/>
        </w:rPr>
        <w:t xml:space="preserve">Wholesale Platform Rates: </w:t>
      </w:r>
      <w:r>
        <w:rPr>
          <w:color w:val="2D3748"/>
        </w:rPr>
        <w:t>Transparent reference pricing: ~$0.50 for next-day ACH, $2.00 Same-Day ACH, $2.50 FedNow/RTP, scaling down to pennies at enterprise volume.</w:t>
      </w:r>
    </w:p>
    <w:p>
      <w:pPr>
        <w:spacing w:before="40" w:after="200"/>
      </w:pPr>
      <w:r>
        <w:rPr>
          <w:b/>
          <w:color w:val="2B6CB0"/>
        </w:rPr>
        <w:t xml:space="preserve">Strategic Alignment for Sync: </w:t>
      </w:r>
      <w:r>
        <w:rPr>
          <w:color w:val="2D3748"/>
        </w:rPr>
        <w:t>Superb option for combining digital national bank charter backing with automated USDC minting and modern API connectivity.</w:t>
      </w:r>
    </w:p>
    <w:p>
      <w:pPr>
        <w:pStyle w:val="Heading2"/>
        <w:spacing w:before="280" w:after="40"/>
      </w:pPr>
      <w:r>
        <w:t>7. FV Bank (Fintechex Bank)</w:t>
      </w:r>
    </w:p>
    <w:p>
      <w:pPr>
        <w:spacing w:before="0" w:after="80"/>
      </w:pPr>
      <w:r>
        <w:rPr>
          <w:b/>
          <w:color w:val="2B6CB0"/>
          <w:sz w:val="19"/>
        </w:rPr>
        <w:t>Regulated Global Hybrid Digital Asset &amp; Fiat Commercial Bank  |  Licensed Digital Bank (OCFI / US Fedwire Clearing) | Global Reach</w:t>
      </w:r>
    </w:p>
    <w:p>
      <w:pPr>
        <w:spacing w:line="276" w:lineRule="auto" w:after="80"/>
      </w:pPr>
      <w:r>
        <w:rPr>
          <w:color w:val="2D3748"/>
        </w:rPr>
        <w:t>FV Bank is a regulated digital bank that seamlessly bridges traditional banking with digital asset custody. It provides multi-currency commercial accounts, cryptocurrency custody, and Visa debit card issuing for global fintech and Web3 platforms.</w:t>
      </w:r>
    </w:p>
    <w:p>
      <w:pPr>
        <w:spacing w:before="40" w:after="40"/>
      </w:pPr>
      <w:r>
        <w:rPr>
          <w:b/>
          <w:color w:val="1A365D"/>
        </w:rPr>
        <w:t>Solution Matrix &amp; Capabilities:</w:t>
      </w:r>
    </w:p>
    <w:p>
      <w:pPr>
        <w:pStyle w:val="ListBullet"/>
        <w:spacing w:before="0" w:after="40" w:line="276" w:lineRule="auto"/>
      </w:pPr>
      <w:r>
        <w:rPr>
          <w:b/>
          <w:color w:val="1A365D"/>
        </w:rPr>
        <w:t xml:space="preserve">Multi-Currency &amp; Global Rails: </w:t>
      </w:r>
      <w:r>
        <w:rPr>
          <w:color w:val="2D3748"/>
        </w:rPr>
        <w:t>Supports US Domestic ACH, Fedwire, International SWIFT, and SEPA (Europe) within a single unified banking portal.</w:t>
      </w:r>
    </w:p>
    <w:p>
      <w:pPr>
        <w:pStyle w:val="ListBullet"/>
        <w:spacing w:before="0" w:after="40" w:line="276" w:lineRule="auto"/>
      </w:pPr>
      <w:r>
        <w:rPr>
          <w:b/>
          <w:color w:val="1A365D"/>
        </w:rPr>
        <w:t xml:space="preserve">Integrated Crypto Custody &amp; Ramps: </w:t>
      </w:r>
      <w:r>
        <w:rPr>
          <w:color w:val="2D3748"/>
        </w:rPr>
        <w:t>Native support for holding digital assets alongside fiat USD balances, with instant internal book transfers between crypto and fiat.</w:t>
      </w:r>
    </w:p>
    <w:p>
      <w:pPr>
        <w:pStyle w:val="ListBullet"/>
        <w:spacing w:before="0" w:after="40" w:line="276" w:lineRule="auto"/>
      </w:pPr>
      <w:r>
        <w:rPr>
          <w:b/>
          <w:color w:val="1A365D"/>
        </w:rPr>
        <w:t xml:space="preserve">Visa Debit Card Program: </w:t>
      </w:r>
      <w:r>
        <w:rPr>
          <w:color w:val="2D3748"/>
        </w:rPr>
        <w:t>Issues Visa corporate and consumer cards that can be funded directly from crypto or fiat accounts.</w:t>
      </w:r>
    </w:p>
    <w:p>
      <w:pPr>
        <w:spacing w:before="40" w:after="200"/>
      </w:pPr>
      <w:r>
        <w:rPr>
          <w:b/>
          <w:color w:val="2B6CB0"/>
        </w:rPr>
        <w:t xml:space="preserve">Strategic Alignment for Sync: </w:t>
      </w:r>
      <w:r>
        <w:rPr>
          <w:color w:val="2D3748"/>
        </w:rPr>
        <w:t>Excellent partner if Sync Wallet requires international fiat rails (EUR/GBP/USD) alongside US ACH and digital asset custody.</w:t>
      </w:r>
    </w:p>
    <w:p>
      <w:pPr>
        <w:pStyle w:val="Heading2"/>
        <w:spacing w:before="360" w:after="160"/>
      </w:pPr>
      <w:r>
        <w:t>2.2 Comprehensive Banking Partner Solution Matrix</w:t>
      </w:r>
    </w:p>
    <w:tbl>
      <w:tblPr>
        <w:tblW w:type="auto" w:w="0"/>
        <w:jc w:val="center"/>
        <w:tblLayout w:type="fixed"/>
        <w:tblLook w:firstColumn="1" w:firstRow="1" w:lastColumn="0" w:lastRow="0" w:noHBand="0" w:noVBand="1" w:val="04A0"/>
        <w:tblBorders>
          <w:top w:val="single" w:sz="4" w:space="0" w:color="CCCCCC"/>
          <w:bottom w:val="single" w:sz="4" w:space="0" w:color="CCCCCC"/>
          <w:insideH w:val="single" w:sz="4" w:space="0" w:color="CCCCCC"/>
          <w:insideV w:val="none"/>
          <w:left w:val="none"/>
          <w:right w:val="none"/>
        </w:tblBorders>
      </w:tblPr>
      <w:tblGrid>
        <w:gridCol w:w="1399"/>
        <w:gridCol w:w="1399"/>
        <w:gridCol w:w="1399"/>
        <w:gridCol w:w="1399"/>
        <w:gridCol w:w="1399"/>
        <w:gridCol w:w="1399"/>
        <w:gridCol w:w="1399"/>
      </w:tblGrid>
      <w:tr>
        <w:tc>
          <w:tcPr>
            <w:tcW w:type="dxa" w:w="1584"/>
            <w:shd w:fill="1A365D"/>
            <w:tcMar>
              <w:top w:w="80" w:type="dxa"/>
              <w:bottom w:w="80" w:type="dxa"/>
              <w:left w:w="60" w:type="dxa"/>
              <w:right w:w="60" w:type="dxa"/>
            </w:tcMar>
          </w:tcPr>
          <w:p>
            <w:r>
              <w:rPr>
                <w:b/>
                <w:color w:val="FFFFFF"/>
                <w:sz w:val="16"/>
              </w:rPr>
              <w:t>Banking Institution</w:t>
            </w:r>
          </w:p>
        </w:tc>
        <w:tc>
          <w:tcPr>
            <w:tcW w:type="dxa" w:w="1152"/>
            <w:shd w:fill="1A365D"/>
            <w:tcMar>
              <w:top w:w="80" w:type="dxa"/>
              <w:bottom w:w="80" w:type="dxa"/>
              <w:left w:w="60" w:type="dxa"/>
              <w:right w:w="60" w:type="dxa"/>
            </w:tcMar>
          </w:tcPr>
          <w:p>
            <w:r>
              <w:rPr>
                <w:b/>
                <w:color w:val="FFFFFF"/>
                <w:sz w:val="16"/>
              </w:rPr>
              <w:t>Asset Scale</w:t>
            </w:r>
          </w:p>
        </w:tc>
        <w:tc>
          <w:tcPr>
            <w:tcW w:type="dxa" w:w="1152"/>
            <w:shd w:fill="1A365D"/>
            <w:tcMar>
              <w:top w:w="80" w:type="dxa"/>
              <w:bottom w:w="80" w:type="dxa"/>
              <w:left w:w="60" w:type="dxa"/>
              <w:right w:w="60" w:type="dxa"/>
            </w:tcMar>
          </w:tcPr>
          <w:p>
            <w:r>
              <w:rPr>
                <w:b/>
                <w:color w:val="FFFFFF"/>
                <w:sz w:val="16"/>
              </w:rPr>
              <w:t>Charter / Reg</w:t>
            </w:r>
          </w:p>
        </w:tc>
        <w:tc>
          <w:tcPr>
            <w:tcW w:type="dxa" w:w="1584"/>
            <w:shd w:fill="1A365D"/>
            <w:tcMar>
              <w:top w:w="80" w:type="dxa"/>
              <w:bottom w:w="80" w:type="dxa"/>
              <w:left w:w="60" w:type="dxa"/>
              <w:right w:w="60" w:type="dxa"/>
            </w:tcMar>
          </w:tcPr>
          <w:p>
            <w:r>
              <w:rPr>
                <w:b/>
                <w:color w:val="FFFFFF"/>
                <w:sz w:val="16"/>
              </w:rPr>
              <w:t>Deposit &amp; FBO Structure</w:t>
            </w:r>
          </w:p>
        </w:tc>
        <w:tc>
          <w:tcPr>
            <w:tcW w:type="dxa" w:w="1584"/>
            <w:shd w:fill="1A365D"/>
            <w:tcMar>
              <w:top w:w="80" w:type="dxa"/>
              <w:bottom w:w="80" w:type="dxa"/>
              <w:left w:w="60" w:type="dxa"/>
              <w:right w:w="60" w:type="dxa"/>
            </w:tcMar>
          </w:tcPr>
          <w:p>
            <w:r>
              <w:rPr>
                <w:b/>
                <w:color w:val="FFFFFF"/>
                <w:sz w:val="16"/>
              </w:rPr>
              <w:t>Payment Rails</w:t>
            </w:r>
          </w:p>
        </w:tc>
        <w:tc>
          <w:tcPr>
            <w:tcW w:type="dxa" w:w="1584"/>
            <w:shd w:fill="1A365D"/>
            <w:tcMar>
              <w:top w:w="80" w:type="dxa"/>
              <w:bottom w:w="80" w:type="dxa"/>
              <w:left w:w="60" w:type="dxa"/>
              <w:right w:w="60" w:type="dxa"/>
            </w:tcMar>
          </w:tcPr>
          <w:p>
            <w:r>
              <w:rPr>
                <w:b/>
                <w:color w:val="FFFFFF"/>
                <w:sz w:val="16"/>
              </w:rPr>
              <w:t>Crypto On/Off-Ramp</w:t>
            </w:r>
          </w:p>
        </w:tc>
        <w:tc>
          <w:tcPr>
            <w:tcW w:type="dxa" w:w="1584"/>
            <w:shd w:fill="1A365D"/>
            <w:tcMar>
              <w:top w:w="80" w:type="dxa"/>
              <w:bottom w:w="80" w:type="dxa"/>
              <w:left w:w="60" w:type="dxa"/>
              <w:right w:w="60" w:type="dxa"/>
            </w:tcMar>
          </w:tcPr>
          <w:p>
            <w:r>
              <w:rPr>
                <w:b/>
                <w:color w:val="FFFFFF"/>
                <w:sz w:val="16"/>
              </w:rPr>
              <w:t>Debit Card &amp; Interchange</w:t>
            </w:r>
          </w:p>
        </w:tc>
      </w:tr>
      <w:tr>
        <w:tc>
          <w:tcPr>
            <w:tcW w:type="dxa" w:w="1584"/>
            <w:shd w:fill="FFFFFF"/>
            <w:tcMar>
              <w:top w:w="60" w:type="dxa"/>
              <w:bottom w:w="60" w:type="dxa"/>
              <w:left w:w="60" w:type="dxa"/>
              <w:right w:w="60" w:type="dxa"/>
            </w:tcMar>
          </w:tcPr>
          <w:p>
            <w:pPr>
              <w:spacing w:line="252" w:lineRule="auto"/>
            </w:pPr>
            <w:r>
              <w:rPr>
                <w:color w:val="2D3748"/>
                <w:sz w:val="15"/>
              </w:rPr>
              <w:t>Customers Bank (CUBI)</w:t>
            </w:r>
          </w:p>
        </w:tc>
        <w:tc>
          <w:tcPr>
            <w:tcW w:type="dxa" w:w="1152"/>
            <w:shd w:fill="FFFFFF"/>
            <w:tcMar>
              <w:top w:w="60" w:type="dxa"/>
              <w:bottom w:w="60" w:type="dxa"/>
              <w:left w:w="60" w:type="dxa"/>
              <w:right w:w="60" w:type="dxa"/>
            </w:tcMar>
          </w:tcPr>
          <w:p>
            <w:pPr>
              <w:spacing w:line="252" w:lineRule="auto"/>
            </w:pPr>
            <w:r>
              <w:rPr>
                <w:color w:val="2D3748"/>
                <w:sz w:val="15"/>
              </w:rPr>
              <w:t>$22B+</w:t>
            </w:r>
          </w:p>
        </w:tc>
        <w:tc>
          <w:tcPr>
            <w:tcW w:type="dxa" w:w="1152"/>
            <w:shd w:fill="FFFFFF"/>
            <w:tcMar>
              <w:top w:w="60" w:type="dxa"/>
              <w:bottom w:w="60" w:type="dxa"/>
              <w:left w:w="60" w:type="dxa"/>
              <w:right w:w="60" w:type="dxa"/>
            </w:tcMar>
          </w:tcPr>
          <w:p>
            <w:pPr>
              <w:spacing w:line="252" w:lineRule="auto"/>
            </w:pPr>
            <w:r>
              <w:rPr>
                <w:color w:val="2D3748"/>
                <w:sz w:val="15"/>
              </w:rPr>
              <w:t>PA State / FDIC</w:t>
            </w:r>
          </w:p>
        </w:tc>
        <w:tc>
          <w:tcPr>
            <w:tcW w:type="dxa" w:w="1584"/>
            <w:shd w:fill="FFFFFF"/>
            <w:tcMar>
              <w:top w:w="60" w:type="dxa"/>
              <w:bottom w:w="60" w:type="dxa"/>
              <w:left w:w="60" w:type="dxa"/>
              <w:right w:w="60" w:type="dxa"/>
            </w:tcMar>
          </w:tcPr>
          <w:p>
            <w:pPr>
              <w:spacing w:line="252" w:lineRule="auto"/>
            </w:pPr>
            <w:r>
              <w:rPr>
                <w:color w:val="2D3748"/>
                <w:sz w:val="15"/>
              </w:rPr>
              <w:t>Master FBO + User Virtual Accounts</w:t>
            </w:r>
          </w:p>
        </w:tc>
        <w:tc>
          <w:tcPr>
            <w:tcW w:type="dxa" w:w="1584"/>
            <w:shd w:fill="FFFFFF"/>
            <w:tcMar>
              <w:top w:w="60" w:type="dxa"/>
              <w:bottom w:w="60" w:type="dxa"/>
              <w:left w:w="60" w:type="dxa"/>
              <w:right w:w="60" w:type="dxa"/>
            </w:tcMar>
          </w:tcPr>
          <w:p>
            <w:pPr>
              <w:spacing w:line="252" w:lineRule="auto"/>
            </w:pPr>
            <w:r>
              <w:rPr>
                <w:color w:val="2D3748"/>
                <w:sz w:val="15"/>
              </w:rPr>
              <w:t>ACH, Same-Day, FedNow, RTP, Wire, cubiX (24/7)</w:t>
            </w:r>
          </w:p>
        </w:tc>
        <w:tc>
          <w:tcPr>
            <w:tcW w:type="dxa" w:w="1584"/>
            <w:shd w:fill="FFFFFF"/>
            <w:tcMar>
              <w:top w:w="60" w:type="dxa"/>
              <w:bottom w:w="60" w:type="dxa"/>
              <w:left w:w="60" w:type="dxa"/>
              <w:right w:w="60" w:type="dxa"/>
            </w:tcMar>
          </w:tcPr>
          <w:p>
            <w:pPr>
              <w:spacing w:line="252" w:lineRule="auto"/>
            </w:pPr>
            <w:r>
              <w:rPr>
                <w:color w:val="2D3748"/>
                <w:sz w:val="15"/>
              </w:rPr>
              <w:t>Native cubiX 24/7 liquidity clearing for ramps</w:t>
            </w:r>
          </w:p>
        </w:tc>
        <w:tc>
          <w:tcPr>
            <w:tcW w:type="dxa" w:w="1584"/>
            <w:shd w:fill="FFFFFF"/>
            <w:tcMar>
              <w:top w:w="60" w:type="dxa"/>
              <w:bottom w:w="60" w:type="dxa"/>
              <w:left w:w="60" w:type="dxa"/>
              <w:right w:w="60" w:type="dxa"/>
            </w:tcMar>
          </w:tcPr>
          <w:p>
            <w:pPr>
              <w:spacing w:line="252" w:lineRule="auto"/>
            </w:pPr>
            <w:r>
              <w:rPr>
                <w:color w:val="2D3748"/>
                <w:sz w:val="15"/>
              </w:rPr>
              <w:t>Commercial cards, treasury interest sweeps</w:t>
            </w:r>
          </w:p>
        </w:tc>
      </w:tr>
      <w:tr>
        <w:tc>
          <w:tcPr>
            <w:tcW w:type="dxa" w:w="1584"/>
            <w:shd w:fill="F7FAFC"/>
            <w:tcMar>
              <w:top w:w="60" w:type="dxa"/>
              <w:bottom w:w="60" w:type="dxa"/>
              <w:left w:w="60" w:type="dxa"/>
              <w:right w:w="60" w:type="dxa"/>
            </w:tcMar>
          </w:tcPr>
          <w:p>
            <w:pPr>
              <w:spacing w:line="252" w:lineRule="auto"/>
            </w:pPr>
            <w:r>
              <w:rPr>
                <w:color w:val="2D3748"/>
                <w:sz w:val="15"/>
              </w:rPr>
              <w:t>Cross River Bank</w:t>
            </w:r>
          </w:p>
        </w:tc>
        <w:tc>
          <w:tcPr>
            <w:tcW w:type="dxa" w:w="1152"/>
            <w:shd w:fill="F7FAFC"/>
            <w:tcMar>
              <w:top w:w="60" w:type="dxa"/>
              <w:bottom w:w="60" w:type="dxa"/>
              <w:left w:w="60" w:type="dxa"/>
              <w:right w:w="60" w:type="dxa"/>
            </w:tcMar>
          </w:tcPr>
          <w:p>
            <w:pPr>
              <w:spacing w:line="252" w:lineRule="auto"/>
            </w:pPr>
            <w:r>
              <w:rPr>
                <w:color w:val="2D3748"/>
                <w:sz w:val="15"/>
              </w:rPr>
              <w:t>$10B+</w:t>
            </w:r>
          </w:p>
        </w:tc>
        <w:tc>
          <w:tcPr>
            <w:tcW w:type="dxa" w:w="1152"/>
            <w:shd w:fill="F7FAFC"/>
            <w:tcMar>
              <w:top w:w="60" w:type="dxa"/>
              <w:bottom w:w="60" w:type="dxa"/>
              <w:left w:w="60" w:type="dxa"/>
              <w:right w:w="60" w:type="dxa"/>
            </w:tcMar>
          </w:tcPr>
          <w:p>
            <w:pPr>
              <w:spacing w:line="252" w:lineRule="auto"/>
            </w:pPr>
            <w:r>
              <w:rPr>
                <w:color w:val="2D3748"/>
                <w:sz w:val="15"/>
              </w:rPr>
              <w:t>NJ State / FDIC</w:t>
            </w:r>
          </w:p>
        </w:tc>
        <w:tc>
          <w:tcPr>
            <w:tcW w:type="dxa" w:w="1584"/>
            <w:shd w:fill="F7FAFC"/>
            <w:tcMar>
              <w:top w:w="60" w:type="dxa"/>
              <w:bottom w:w="60" w:type="dxa"/>
              <w:left w:w="60" w:type="dxa"/>
              <w:right w:w="60" w:type="dxa"/>
            </w:tcMar>
          </w:tcPr>
          <w:p>
            <w:pPr>
              <w:spacing w:line="252" w:lineRule="auto"/>
            </w:pPr>
            <w:r>
              <w:rPr>
                <w:color w:val="2D3748"/>
                <w:sz w:val="15"/>
              </w:rPr>
              <w:t>Master FBO + Sub-ledger API</w:t>
            </w:r>
          </w:p>
        </w:tc>
        <w:tc>
          <w:tcPr>
            <w:tcW w:type="dxa" w:w="1584"/>
            <w:shd w:fill="F7FAFC"/>
            <w:tcMar>
              <w:top w:w="60" w:type="dxa"/>
              <w:bottom w:w="60" w:type="dxa"/>
              <w:left w:w="60" w:type="dxa"/>
              <w:right w:w="60" w:type="dxa"/>
            </w:tcMar>
          </w:tcPr>
          <w:p>
            <w:pPr>
              <w:spacing w:line="252" w:lineRule="auto"/>
            </w:pPr>
            <w:r>
              <w:rPr>
                <w:color w:val="2D3748"/>
                <w:sz w:val="15"/>
              </w:rPr>
              <w:t>ACH, Same-Day, FedNow, RTP, Wire, CRNow</w:t>
            </w:r>
          </w:p>
        </w:tc>
        <w:tc>
          <w:tcPr>
            <w:tcW w:type="dxa" w:w="1584"/>
            <w:shd w:fill="F7FAFC"/>
            <w:tcMar>
              <w:top w:w="60" w:type="dxa"/>
              <w:bottom w:w="60" w:type="dxa"/>
              <w:left w:w="60" w:type="dxa"/>
              <w:right w:w="60" w:type="dxa"/>
            </w:tcMar>
          </w:tcPr>
          <w:p>
            <w:pPr>
              <w:spacing w:line="252" w:lineRule="auto"/>
            </w:pPr>
            <w:r>
              <w:rPr>
                <w:color w:val="2D3748"/>
                <w:sz w:val="15"/>
              </w:rPr>
              <w:t>Direct Circle USDC automated mint/burn</w:t>
            </w:r>
          </w:p>
        </w:tc>
        <w:tc>
          <w:tcPr>
            <w:tcW w:type="dxa" w:w="1584"/>
            <w:shd w:fill="F7FAFC"/>
            <w:tcMar>
              <w:top w:w="60" w:type="dxa"/>
              <w:bottom w:w="60" w:type="dxa"/>
              <w:left w:w="60" w:type="dxa"/>
              <w:right w:w="60" w:type="dxa"/>
            </w:tcMar>
          </w:tcPr>
          <w:p>
            <w:pPr>
              <w:spacing w:line="252" w:lineRule="auto"/>
            </w:pPr>
            <w:r>
              <w:rPr>
                <w:color w:val="2D3748"/>
                <w:sz w:val="15"/>
              </w:rPr>
              <w:t>Visa/MC Issuer, Durbin-exempt revenue share</w:t>
            </w:r>
          </w:p>
        </w:tc>
      </w:tr>
      <w:tr>
        <w:tc>
          <w:tcPr>
            <w:tcW w:type="dxa" w:w="1584"/>
            <w:shd w:fill="FFFFFF"/>
            <w:tcMar>
              <w:top w:w="60" w:type="dxa"/>
              <w:bottom w:w="60" w:type="dxa"/>
              <w:left w:w="60" w:type="dxa"/>
              <w:right w:w="60" w:type="dxa"/>
            </w:tcMar>
          </w:tcPr>
          <w:p>
            <w:pPr>
              <w:spacing w:line="252" w:lineRule="auto"/>
            </w:pPr>
            <w:r>
              <w:rPr>
                <w:color w:val="2D3748"/>
                <w:sz w:val="15"/>
              </w:rPr>
              <w:t>Lead Bank</w:t>
            </w:r>
          </w:p>
        </w:tc>
        <w:tc>
          <w:tcPr>
            <w:tcW w:type="dxa" w:w="1152"/>
            <w:shd w:fill="FFFFFF"/>
            <w:tcMar>
              <w:top w:w="60" w:type="dxa"/>
              <w:bottom w:w="60" w:type="dxa"/>
              <w:left w:w="60" w:type="dxa"/>
              <w:right w:w="60" w:type="dxa"/>
            </w:tcMar>
          </w:tcPr>
          <w:p>
            <w:pPr>
              <w:spacing w:line="252" w:lineRule="auto"/>
            </w:pPr>
            <w:r>
              <w:rPr>
                <w:color w:val="2D3748"/>
                <w:sz w:val="15"/>
              </w:rPr>
              <w:t>$1B+</w:t>
            </w:r>
          </w:p>
        </w:tc>
        <w:tc>
          <w:tcPr>
            <w:tcW w:type="dxa" w:w="1152"/>
            <w:shd w:fill="FFFFFF"/>
            <w:tcMar>
              <w:top w:w="60" w:type="dxa"/>
              <w:bottom w:w="60" w:type="dxa"/>
              <w:left w:w="60" w:type="dxa"/>
              <w:right w:w="60" w:type="dxa"/>
            </w:tcMar>
          </w:tcPr>
          <w:p>
            <w:pPr>
              <w:spacing w:line="252" w:lineRule="auto"/>
            </w:pPr>
            <w:r>
              <w:rPr>
                <w:color w:val="2D3748"/>
                <w:sz w:val="15"/>
              </w:rPr>
              <w:t>MO State / FDIC</w:t>
            </w:r>
          </w:p>
        </w:tc>
        <w:tc>
          <w:tcPr>
            <w:tcW w:type="dxa" w:w="1584"/>
            <w:shd w:fill="FFFFFF"/>
            <w:tcMar>
              <w:top w:w="60" w:type="dxa"/>
              <w:bottom w:w="60" w:type="dxa"/>
              <w:left w:w="60" w:type="dxa"/>
              <w:right w:w="60" w:type="dxa"/>
            </w:tcMar>
          </w:tcPr>
          <w:p>
            <w:pPr>
              <w:spacing w:line="252" w:lineRule="auto"/>
            </w:pPr>
            <w:r>
              <w:rPr>
                <w:color w:val="2D3748"/>
                <w:sz w:val="15"/>
              </w:rPr>
              <w:t>Instant Virtual Accounts via API</w:t>
            </w:r>
          </w:p>
        </w:tc>
        <w:tc>
          <w:tcPr>
            <w:tcW w:type="dxa" w:w="1584"/>
            <w:shd w:fill="FFFFFF"/>
            <w:tcMar>
              <w:top w:w="60" w:type="dxa"/>
              <w:bottom w:w="60" w:type="dxa"/>
              <w:left w:w="60" w:type="dxa"/>
              <w:right w:w="60" w:type="dxa"/>
            </w:tcMar>
          </w:tcPr>
          <w:p>
            <w:pPr>
              <w:spacing w:line="252" w:lineRule="auto"/>
            </w:pPr>
            <w:r>
              <w:rPr>
                <w:color w:val="2D3748"/>
                <w:sz w:val="15"/>
              </w:rPr>
              <w:t>ACH, Same-Day, FedNow, RTP, Fedwire</w:t>
            </w:r>
          </w:p>
        </w:tc>
        <w:tc>
          <w:tcPr>
            <w:tcW w:type="dxa" w:w="1584"/>
            <w:shd w:fill="FFFFFF"/>
            <w:tcMar>
              <w:top w:w="60" w:type="dxa"/>
              <w:bottom w:w="60" w:type="dxa"/>
              <w:left w:w="60" w:type="dxa"/>
              <w:right w:w="60" w:type="dxa"/>
            </w:tcMar>
          </w:tcPr>
          <w:p>
            <w:pPr>
              <w:spacing w:line="252" w:lineRule="auto"/>
            </w:pPr>
            <w:r>
              <w:rPr>
                <w:color w:val="2D3748"/>
                <w:sz w:val="15"/>
              </w:rPr>
              <w:t>Custom programmable stablecoin on/off settlement</w:t>
            </w:r>
          </w:p>
        </w:tc>
        <w:tc>
          <w:tcPr>
            <w:tcW w:type="dxa" w:w="1584"/>
            <w:shd w:fill="FFFFFF"/>
            <w:tcMar>
              <w:top w:w="60" w:type="dxa"/>
              <w:bottom w:w="60" w:type="dxa"/>
              <w:left w:w="60" w:type="dxa"/>
              <w:right w:w="60" w:type="dxa"/>
            </w:tcMar>
          </w:tcPr>
          <w:p>
            <w:pPr>
              <w:spacing w:line="252" w:lineRule="auto"/>
            </w:pPr>
            <w:r>
              <w:rPr>
                <w:color w:val="2D3748"/>
                <w:sz w:val="15"/>
              </w:rPr>
              <w:t>Custom virtual/physical debit programs</w:t>
            </w:r>
          </w:p>
        </w:tc>
      </w:tr>
      <w:tr>
        <w:tc>
          <w:tcPr>
            <w:tcW w:type="dxa" w:w="1584"/>
            <w:shd w:fill="F7FAFC"/>
            <w:tcMar>
              <w:top w:w="60" w:type="dxa"/>
              <w:bottom w:w="60" w:type="dxa"/>
              <w:left w:w="60" w:type="dxa"/>
              <w:right w:w="60" w:type="dxa"/>
            </w:tcMar>
          </w:tcPr>
          <w:p>
            <w:pPr>
              <w:spacing w:line="252" w:lineRule="auto"/>
            </w:pPr>
            <w:r>
              <w:rPr>
                <w:color w:val="2D3748"/>
                <w:sz w:val="15"/>
              </w:rPr>
              <w:t>Sutton Bank</w:t>
            </w:r>
          </w:p>
        </w:tc>
        <w:tc>
          <w:tcPr>
            <w:tcW w:type="dxa" w:w="1152"/>
            <w:shd w:fill="F7FAFC"/>
            <w:tcMar>
              <w:top w:w="60" w:type="dxa"/>
              <w:bottom w:w="60" w:type="dxa"/>
              <w:left w:w="60" w:type="dxa"/>
              <w:right w:w="60" w:type="dxa"/>
            </w:tcMar>
          </w:tcPr>
          <w:p>
            <w:pPr>
              <w:spacing w:line="252" w:lineRule="auto"/>
            </w:pPr>
            <w:r>
              <w:rPr>
                <w:color w:val="2D3748"/>
                <w:sz w:val="15"/>
              </w:rPr>
              <w:t>$3.5B+</w:t>
            </w:r>
          </w:p>
        </w:tc>
        <w:tc>
          <w:tcPr>
            <w:tcW w:type="dxa" w:w="1152"/>
            <w:shd w:fill="F7FAFC"/>
            <w:tcMar>
              <w:top w:w="60" w:type="dxa"/>
              <w:bottom w:w="60" w:type="dxa"/>
              <w:left w:w="60" w:type="dxa"/>
              <w:right w:w="60" w:type="dxa"/>
            </w:tcMar>
          </w:tcPr>
          <w:p>
            <w:pPr>
              <w:spacing w:line="252" w:lineRule="auto"/>
            </w:pPr>
            <w:r>
              <w:rPr>
                <w:color w:val="2D3748"/>
                <w:sz w:val="15"/>
              </w:rPr>
              <w:t>OH State / FDIC</w:t>
            </w:r>
          </w:p>
        </w:tc>
        <w:tc>
          <w:tcPr>
            <w:tcW w:type="dxa" w:w="1584"/>
            <w:shd w:fill="F7FAFC"/>
            <w:tcMar>
              <w:top w:w="60" w:type="dxa"/>
              <w:bottom w:w="60" w:type="dxa"/>
              <w:left w:w="60" w:type="dxa"/>
              <w:right w:w="60" w:type="dxa"/>
            </w:tcMar>
          </w:tcPr>
          <w:p>
            <w:pPr>
              <w:spacing w:line="252" w:lineRule="auto"/>
            </w:pPr>
            <w:r>
              <w:rPr>
                <w:color w:val="2D3748"/>
                <w:sz w:val="15"/>
              </w:rPr>
              <w:t>Wallet Master FBO Ledger</w:t>
            </w:r>
          </w:p>
        </w:tc>
        <w:tc>
          <w:tcPr>
            <w:tcW w:type="dxa" w:w="1584"/>
            <w:shd w:fill="F7FAFC"/>
            <w:tcMar>
              <w:top w:w="60" w:type="dxa"/>
              <w:bottom w:w="60" w:type="dxa"/>
              <w:left w:w="60" w:type="dxa"/>
              <w:right w:w="60" w:type="dxa"/>
            </w:tcMar>
          </w:tcPr>
          <w:p>
            <w:pPr>
              <w:spacing w:line="252" w:lineRule="auto"/>
            </w:pPr>
            <w:r>
              <w:rPr>
                <w:color w:val="2D3748"/>
                <w:sz w:val="15"/>
              </w:rPr>
              <w:t>ACH, Same-Day, Fedwire, Push-to-Card</w:t>
            </w:r>
          </w:p>
        </w:tc>
        <w:tc>
          <w:tcPr>
            <w:tcW w:type="dxa" w:w="1584"/>
            <w:shd w:fill="F7FAFC"/>
            <w:tcMar>
              <w:top w:w="60" w:type="dxa"/>
              <w:bottom w:w="60" w:type="dxa"/>
              <w:left w:w="60" w:type="dxa"/>
              <w:right w:w="60" w:type="dxa"/>
            </w:tcMar>
          </w:tcPr>
          <w:p>
            <w:pPr>
              <w:spacing w:line="252" w:lineRule="auto"/>
            </w:pPr>
            <w:r>
              <w:rPr>
                <w:color w:val="2D3748"/>
                <w:sz w:val="15"/>
              </w:rPr>
              <w:t>Cash App &amp; Robinhood crypto fiat settlement</w:t>
            </w:r>
          </w:p>
        </w:tc>
        <w:tc>
          <w:tcPr>
            <w:tcW w:type="dxa" w:w="1584"/>
            <w:shd w:fill="F7FAFC"/>
            <w:tcMar>
              <w:top w:w="60" w:type="dxa"/>
              <w:bottom w:w="60" w:type="dxa"/>
              <w:left w:w="60" w:type="dxa"/>
              <w:right w:w="60" w:type="dxa"/>
            </w:tcMar>
          </w:tcPr>
          <w:p>
            <w:pPr>
              <w:spacing w:line="252" w:lineRule="auto"/>
            </w:pPr>
            <w:r>
              <w:rPr>
                <w:color w:val="2D3748"/>
                <w:sz w:val="15"/>
              </w:rPr>
              <w:t>Market leader in wallet cards (1.4%+ interchange)</w:t>
            </w:r>
          </w:p>
        </w:tc>
      </w:tr>
      <w:tr>
        <w:tc>
          <w:tcPr>
            <w:tcW w:type="dxa" w:w="1584"/>
            <w:shd w:fill="FFFFFF"/>
            <w:tcMar>
              <w:top w:w="60" w:type="dxa"/>
              <w:bottom w:w="60" w:type="dxa"/>
              <w:left w:w="60" w:type="dxa"/>
              <w:right w:w="60" w:type="dxa"/>
            </w:tcMar>
          </w:tcPr>
          <w:p>
            <w:pPr>
              <w:spacing w:line="252" w:lineRule="auto"/>
            </w:pPr>
            <w:r>
              <w:rPr>
                <w:color w:val="2D3748"/>
                <w:sz w:val="15"/>
              </w:rPr>
              <w:t>Pathward (CASH)</w:t>
            </w:r>
          </w:p>
        </w:tc>
        <w:tc>
          <w:tcPr>
            <w:tcW w:type="dxa" w:w="1152"/>
            <w:shd w:fill="FFFFFF"/>
            <w:tcMar>
              <w:top w:w="60" w:type="dxa"/>
              <w:bottom w:w="60" w:type="dxa"/>
              <w:left w:w="60" w:type="dxa"/>
              <w:right w:w="60" w:type="dxa"/>
            </w:tcMar>
          </w:tcPr>
          <w:p>
            <w:pPr>
              <w:spacing w:line="252" w:lineRule="auto"/>
            </w:pPr>
            <w:r>
              <w:rPr>
                <w:color w:val="2D3748"/>
                <w:sz w:val="15"/>
              </w:rPr>
              <w:t>$7.5B+</w:t>
            </w:r>
          </w:p>
        </w:tc>
        <w:tc>
          <w:tcPr>
            <w:tcW w:type="dxa" w:w="1152"/>
            <w:shd w:fill="FFFFFF"/>
            <w:tcMar>
              <w:top w:w="60" w:type="dxa"/>
              <w:bottom w:w="60" w:type="dxa"/>
              <w:left w:w="60" w:type="dxa"/>
              <w:right w:w="60" w:type="dxa"/>
            </w:tcMar>
          </w:tcPr>
          <w:p>
            <w:pPr>
              <w:spacing w:line="252" w:lineRule="auto"/>
            </w:pPr>
            <w:r>
              <w:rPr>
                <w:color w:val="2D3748"/>
                <w:sz w:val="15"/>
              </w:rPr>
              <w:t>OCC National / FDIC</w:t>
            </w:r>
          </w:p>
        </w:tc>
        <w:tc>
          <w:tcPr>
            <w:tcW w:type="dxa" w:w="1584"/>
            <w:shd w:fill="FFFFFF"/>
            <w:tcMar>
              <w:top w:w="60" w:type="dxa"/>
              <w:bottom w:w="60" w:type="dxa"/>
              <w:left w:w="60" w:type="dxa"/>
              <w:right w:w="60" w:type="dxa"/>
            </w:tcMar>
          </w:tcPr>
          <w:p>
            <w:pPr>
              <w:spacing w:line="252" w:lineRule="auto"/>
            </w:pPr>
            <w:r>
              <w:rPr>
                <w:color w:val="2D3748"/>
                <w:sz w:val="15"/>
              </w:rPr>
              <w:t>Enterprise FBO &amp; Consumer Accounts</w:t>
            </w:r>
          </w:p>
        </w:tc>
        <w:tc>
          <w:tcPr>
            <w:tcW w:type="dxa" w:w="1584"/>
            <w:shd w:fill="FFFFFF"/>
            <w:tcMar>
              <w:top w:w="60" w:type="dxa"/>
              <w:bottom w:w="60" w:type="dxa"/>
              <w:left w:w="60" w:type="dxa"/>
              <w:right w:w="60" w:type="dxa"/>
            </w:tcMar>
          </w:tcPr>
          <w:p>
            <w:pPr>
              <w:spacing w:line="252" w:lineRule="auto"/>
            </w:pPr>
            <w:r>
              <w:rPr>
                <w:color w:val="2D3748"/>
                <w:sz w:val="15"/>
              </w:rPr>
              <w:t>High-Volume ACH, Same-Day, Fedwire</w:t>
            </w:r>
          </w:p>
        </w:tc>
        <w:tc>
          <w:tcPr>
            <w:tcW w:type="dxa" w:w="1584"/>
            <w:shd w:fill="FFFFFF"/>
            <w:tcMar>
              <w:top w:w="60" w:type="dxa"/>
              <w:bottom w:w="60" w:type="dxa"/>
              <w:left w:w="60" w:type="dxa"/>
              <w:right w:w="60" w:type="dxa"/>
            </w:tcMar>
          </w:tcPr>
          <w:p>
            <w:pPr>
              <w:spacing w:line="252" w:lineRule="auto"/>
            </w:pPr>
            <w:r>
              <w:rPr>
                <w:color w:val="2D3748"/>
                <w:sz w:val="15"/>
              </w:rPr>
              <w:t>Mass disbursement on/off-ramp settlement</w:t>
            </w:r>
          </w:p>
        </w:tc>
        <w:tc>
          <w:tcPr>
            <w:tcW w:type="dxa" w:w="1584"/>
            <w:shd w:fill="FFFFFF"/>
            <w:tcMar>
              <w:top w:w="60" w:type="dxa"/>
              <w:bottom w:w="60" w:type="dxa"/>
              <w:left w:w="60" w:type="dxa"/>
              <w:right w:w="60" w:type="dxa"/>
            </w:tcMar>
          </w:tcPr>
          <w:p>
            <w:pPr>
              <w:spacing w:line="252" w:lineRule="auto"/>
            </w:pPr>
            <w:r>
              <w:rPr>
                <w:color w:val="2D3748"/>
                <w:sz w:val="15"/>
              </w:rPr>
              <w:t>Massive turnkey debit/prepaid issuing</w:t>
            </w:r>
          </w:p>
        </w:tc>
      </w:tr>
      <w:tr>
        <w:tc>
          <w:tcPr>
            <w:tcW w:type="dxa" w:w="1584"/>
            <w:shd w:fill="F7FAFC"/>
            <w:tcMar>
              <w:top w:w="60" w:type="dxa"/>
              <w:bottom w:w="60" w:type="dxa"/>
              <w:left w:w="60" w:type="dxa"/>
              <w:right w:w="60" w:type="dxa"/>
            </w:tcMar>
          </w:tcPr>
          <w:p>
            <w:pPr>
              <w:spacing w:line="252" w:lineRule="auto"/>
            </w:pPr>
            <w:r>
              <w:rPr>
                <w:color w:val="2D3748"/>
                <w:sz w:val="15"/>
              </w:rPr>
              <w:t>Grasshopper Bank</w:t>
            </w:r>
          </w:p>
        </w:tc>
        <w:tc>
          <w:tcPr>
            <w:tcW w:type="dxa" w:w="1152"/>
            <w:shd w:fill="F7FAFC"/>
            <w:tcMar>
              <w:top w:w="60" w:type="dxa"/>
              <w:bottom w:w="60" w:type="dxa"/>
              <w:left w:w="60" w:type="dxa"/>
              <w:right w:w="60" w:type="dxa"/>
            </w:tcMar>
          </w:tcPr>
          <w:p>
            <w:pPr>
              <w:spacing w:line="252" w:lineRule="auto"/>
            </w:pPr>
            <w:r>
              <w:rPr>
                <w:color w:val="2D3748"/>
                <w:sz w:val="15"/>
              </w:rPr>
              <w:t>$1.2B+</w:t>
            </w:r>
          </w:p>
        </w:tc>
        <w:tc>
          <w:tcPr>
            <w:tcW w:type="dxa" w:w="1152"/>
            <w:shd w:fill="F7FAFC"/>
            <w:tcMar>
              <w:top w:w="60" w:type="dxa"/>
              <w:bottom w:w="60" w:type="dxa"/>
              <w:left w:w="60" w:type="dxa"/>
              <w:right w:w="60" w:type="dxa"/>
            </w:tcMar>
          </w:tcPr>
          <w:p>
            <w:pPr>
              <w:spacing w:line="252" w:lineRule="auto"/>
            </w:pPr>
            <w:r>
              <w:rPr>
                <w:color w:val="2D3748"/>
                <w:sz w:val="15"/>
              </w:rPr>
              <w:t>OCC National / FDIC</w:t>
            </w:r>
          </w:p>
        </w:tc>
        <w:tc>
          <w:tcPr>
            <w:tcW w:type="dxa" w:w="1584"/>
            <w:shd w:fill="F7FAFC"/>
            <w:tcMar>
              <w:top w:w="60" w:type="dxa"/>
              <w:bottom w:w="60" w:type="dxa"/>
              <w:left w:w="60" w:type="dxa"/>
              <w:right w:w="60" w:type="dxa"/>
            </w:tcMar>
          </w:tcPr>
          <w:p>
            <w:pPr>
              <w:spacing w:line="252" w:lineRule="auto"/>
            </w:pPr>
            <w:r>
              <w:rPr>
                <w:color w:val="2D3748"/>
                <w:sz w:val="15"/>
              </w:rPr>
              <w:t>FBO + Developer Sub-Accounts</w:t>
            </w:r>
          </w:p>
        </w:tc>
        <w:tc>
          <w:tcPr>
            <w:tcW w:type="dxa" w:w="1584"/>
            <w:shd w:fill="F7FAFC"/>
            <w:tcMar>
              <w:top w:w="60" w:type="dxa"/>
              <w:bottom w:w="60" w:type="dxa"/>
              <w:left w:w="60" w:type="dxa"/>
              <w:right w:w="60" w:type="dxa"/>
            </w:tcMar>
          </w:tcPr>
          <w:p>
            <w:pPr>
              <w:spacing w:line="252" w:lineRule="auto"/>
            </w:pPr>
            <w:r>
              <w:rPr>
                <w:color w:val="2D3748"/>
                <w:sz w:val="15"/>
              </w:rPr>
              <w:t>ACH, Same-Day, FedNow, RTP, Fedwire</w:t>
            </w:r>
          </w:p>
        </w:tc>
        <w:tc>
          <w:tcPr>
            <w:tcW w:type="dxa" w:w="1584"/>
            <w:shd w:fill="F7FAFC"/>
            <w:tcMar>
              <w:top w:w="60" w:type="dxa"/>
              <w:bottom w:w="60" w:type="dxa"/>
              <w:left w:w="60" w:type="dxa"/>
              <w:right w:w="60" w:type="dxa"/>
            </w:tcMar>
          </w:tcPr>
          <w:p>
            <w:pPr>
              <w:spacing w:line="252" w:lineRule="auto"/>
            </w:pPr>
            <w:r>
              <w:rPr>
                <w:color w:val="2D3748"/>
                <w:sz w:val="15"/>
              </w:rPr>
              <w:t>Direct USDC 24/7 pipeline (Increase/Circle)</w:t>
            </w:r>
          </w:p>
        </w:tc>
        <w:tc>
          <w:tcPr>
            <w:tcW w:type="dxa" w:w="1584"/>
            <w:shd w:fill="F7FAFC"/>
            <w:tcMar>
              <w:top w:w="60" w:type="dxa"/>
              <w:bottom w:w="60" w:type="dxa"/>
              <w:left w:w="60" w:type="dxa"/>
              <w:right w:w="60" w:type="dxa"/>
            </w:tcMar>
          </w:tcPr>
          <w:p>
            <w:pPr>
              <w:spacing w:line="252" w:lineRule="auto"/>
            </w:pPr>
            <w:r>
              <w:rPr>
                <w:color w:val="2D3748"/>
                <w:sz w:val="15"/>
              </w:rPr>
              <w:t>Commercial Visa cards &amp; operating accounts</w:t>
            </w:r>
          </w:p>
        </w:tc>
      </w:tr>
      <w:tr>
        <w:tc>
          <w:tcPr>
            <w:tcW w:type="dxa" w:w="1584"/>
            <w:shd w:fill="FFFFFF"/>
            <w:tcMar>
              <w:top w:w="60" w:type="dxa"/>
              <w:bottom w:w="60" w:type="dxa"/>
              <w:left w:w="60" w:type="dxa"/>
              <w:right w:w="60" w:type="dxa"/>
            </w:tcMar>
          </w:tcPr>
          <w:p>
            <w:pPr>
              <w:spacing w:line="252" w:lineRule="auto"/>
            </w:pPr>
            <w:r>
              <w:rPr>
                <w:color w:val="2D3748"/>
                <w:sz w:val="15"/>
              </w:rPr>
              <w:t>FV Bank</w:t>
            </w:r>
          </w:p>
        </w:tc>
        <w:tc>
          <w:tcPr>
            <w:tcW w:type="dxa" w:w="1152"/>
            <w:shd w:fill="FFFFFF"/>
            <w:tcMar>
              <w:top w:w="60" w:type="dxa"/>
              <w:bottom w:w="60" w:type="dxa"/>
              <w:left w:w="60" w:type="dxa"/>
              <w:right w:w="60" w:type="dxa"/>
            </w:tcMar>
          </w:tcPr>
          <w:p>
            <w:pPr>
              <w:spacing w:line="252" w:lineRule="auto"/>
            </w:pPr>
            <w:r>
              <w:rPr>
                <w:color w:val="2D3748"/>
                <w:sz w:val="15"/>
              </w:rPr>
              <w:t>Digital</w:t>
            </w:r>
          </w:p>
        </w:tc>
        <w:tc>
          <w:tcPr>
            <w:tcW w:type="dxa" w:w="1152"/>
            <w:shd w:fill="FFFFFF"/>
            <w:tcMar>
              <w:top w:w="60" w:type="dxa"/>
              <w:bottom w:w="60" w:type="dxa"/>
              <w:left w:w="60" w:type="dxa"/>
              <w:right w:w="60" w:type="dxa"/>
            </w:tcMar>
          </w:tcPr>
          <w:p>
            <w:pPr>
              <w:spacing w:line="252" w:lineRule="auto"/>
            </w:pPr>
            <w:r>
              <w:rPr>
                <w:color w:val="2D3748"/>
                <w:sz w:val="15"/>
              </w:rPr>
              <w:t>OCFI / US Fedwire</w:t>
            </w:r>
          </w:p>
        </w:tc>
        <w:tc>
          <w:tcPr>
            <w:tcW w:type="dxa" w:w="1584"/>
            <w:shd w:fill="FFFFFF"/>
            <w:tcMar>
              <w:top w:w="60" w:type="dxa"/>
              <w:bottom w:w="60" w:type="dxa"/>
              <w:left w:w="60" w:type="dxa"/>
              <w:right w:w="60" w:type="dxa"/>
            </w:tcMar>
          </w:tcPr>
          <w:p>
            <w:pPr>
              <w:spacing w:line="252" w:lineRule="auto"/>
            </w:pPr>
            <w:r>
              <w:rPr>
                <w:color w:val="2D3748"/>
                <w:sz w:val="15"/>
              </w:rPr>
              <w:t>Multi-Currency Global FBO</w:t>
            </w:r>
          </w:p>
        </w:tc>
        <w:tc>
          <w:tcPr>
            <w:tcW w:type="dxa" w:w="1584"/>
            <w:shd w:fill="FFFFFF"/>
            <w:tcMar>
              <w:top w:w="60" w:type="dxa"/>
              <w:bottom w:w="60" w:type="dxa"/>
              <w:left w:w="60" w:type="dxa"/>
              <w:right w:w="60" w:type="dxa"/>
            </w:tcMar>
          </w:tcPr>
          <w:p>
            <w:pPr>
              <w:spacing w:line="252" w:lineRule="auto"/>
            </w:pPr>
            <w:r>
              <w:rPr>
                <w:color w:val="2D3748"/>
                <w:sz w:val="15"/>
              </w:rPr>
              <w:t>US ACH, Fedwire, International SWIFT, SEPA</w:t>
            </w:r>
          </w:p>
        </w:tc>
        <w:tc>
          <w:tcPr>
            <w:tcW w:type="dxa" w:w="1584"/>
            <w:shd w:fill="FFFFFF"/>
            <w:tcMar>
              <w:top w:w="60" w:type="dxa"/>
              <w:bottom w:w="60" w:type="dxa"/>
              <w:left w:w="60" w:type="dxa"/>
              <w:right w:w="60" w:type="dxa"/>
            </w:tcMar>
          </w:tcPr>
          <w:p>
            <w:pPr>
              <w:spacing w:line="252" w:lineRule="auto"/>
            </w:pPr>
            <w:r>
              <w:rPr>
                <w:color w:val="2D3748"/>
                <w:sz w:val="15"/>
              </w:rPr>
              <w:t>Integrated crypto custody &amp; fiat book transfers</w:t>
            </w:r>
          </w:p>
        </w:tc>
        <w:tc>
          <w:tcPr>
            <w:tcW w:type="dxa" w:w="1584"/>
            <w:shd w:fill="FFFFFF"/>
            <w:tcMar>
              <w:top w:w="60" w:type="dxa"/>
              <w:bottom w:w="60" w:type="dxa"/>
              <w:left w:w="60" w:type="dxa"/>
              <w:right w:w="60" w:type="dxa"/>
            </w:tcMar>
          </w:tcPr>
          <w:p>
            <w:pPr>
              <w:spacing w:line="252" w:lineRule="auto"/>
            </w:pPr>
            <w:r>
              <w:rPr>
                <w:color w:val="2D3748"/>
                <w:sz w:val="15"/>
              </w:rPr>
              <w:t>Visa Global Debit Cards (Crypto/Fiat funded)</w:t>
            </w:r>
          </w:p>
        </w:tc>
      </w:tr>
    </w:tbl>
    <w:p>
      <w:pPr>
        <w:spacing w:before="200"/>
      </w:pPr>
    </w:p>
    <w:p>
      <w:pPr>
        <w:pStyle w:val="Heading2"/>
        <w:spacing w:before="280" w:after="120"/>
      </w:pPr>
      <w:r>
        <w:t>2.3 Wholesale Fee Economics &amp; Revenue Architecture</w:t>
      </w:r>
    </w:p>
    <w:tbl>
      <w:tblPr>
        <w:tblW w:type="auto" w:w="0"/>
        <w:jc w:val="center"/>
        <w:tblLayout w:type="fixed"/>
        <w:tblLook w:firstColumn="1" w:firstRow="1" w:lastColumn="0" w:lastRow="0" w:noHBand="0" w:noVBand="1" w:val="04A0"/>
        <w:tblBorders>
          <w:top w:val="single" w:sz="4" w:space="0" w:color="CCCCCC"/>
          <w:bottom w:val="single" w:sz="4" w:space="0" w:color="CCCCCC"/>
          <w:insideH w:val="single" w:sz="4" w:space="0" w:color="CCCCCC"/>
          <w:insideV w:val="none"/>
          <w:left w:val="none"/>
          <w:right w:val="none"/>
        </w:tblBorders>
      </w:tblPr>
      <w:tblGrid>
        <w:gridCol w:w="1958"/>
        <w:gridCol w:w="1958"/>
        <w:gridCol w:w="1958"/>
        <w:gridCol w:w="1958"/>
        <w:gridCol w:w="1958"/>
      </w:tblGrid>
      <w:tr>
        <w:tc>
          <w:tcPr>
            <w:tcW w:type="dxa" w:w="2304"/>
            <w:shd w:fill="1A365D"/>
            <w:tcMar>
              <w:top w:w="80" w:type="dxa"/>
              <w:bottom w:w="80" w:type="dxa"/>
              <w:left w:w="60" w:type="dxa"/>
              <w:right w:w="60" w:type="dxa"/>
            </w:tcMar>
          </w:tcPr>
          <w:p>
            <w:r>
              <w:rPr>
                <w:b/>
                <w:color w:val="FFFFFF"/>
                <w:sz w:val="17"/>
              </w:rPr>
              <w:t>Fee / Revenue Component</w:t>
            </w:r>
          </w:p>
        </w:tc>
        <w:tc>
          <w:tcPr>
            <w:tcW w:type="dxa" w:w="2160"/>
            <w:shd w:fill="1A365D"/>
            <w:tcMar>
              <w:top w:w="80" w:type="dxa"/>
              <w:bottom w:w="80" w:type="dxa"/>
              <w:left w:w="60" w:type="dxa"/>
              <w:right w:w="60" w:type="dxa"/>
            </w:tcMar>
          </w:tcPr>
          <w:p>
            <w:r>
              <w:rPr>
                <w:b/>
                <w:color w:val="FFFFFF"/>
                <w:sz w:val="17"/>
              </w:rPr>
              <w:t>Direct Sponsor Bank (Lead/CRB/CUBI)</w:t>
            </w:r>
          </w:p>
        </w:tc>
        <w:tc>
          <w:tcPr>
            <w:tcW w:type="dxa" w:w="2016"/>
            <w:shd w:fill="1A365D"/>
            <w:tcMar>
              <w:top w:w="80" w:type="dxa"/>
              <w:bottom w:w="80" w:type="dxa"/>
              <w:left w:w="60" w:type="dxa"/>
              <w:right w:w="60" w:type="dxa"/>
            </w:tcMar>
          </w:tcPr>
          <w:p>
            <w:r>
              <w:rPr>
                <w:b/>
                <w:color w:val="FFFFFF"/>
                <w:sz w:val="17"/>
              </w:rPr>
              <w:t>BaaS Platform (Increase/Synctera)</w:t>
            </w:r>
          </w:p>
        </w:tc>
        <w:tc>
          <w:tcPr>
            <w:tcW w:type="dxa" w:w="1728"/>
            <w:shd w:fill="1A365D"/>
            <w:tcMar>
              <w:top w:w="80" w:type="dxa"/>
              <w:bottom w:w="80" w:type="dxa"/>
              <w:left w:w="60" w:type="dxa"/>
              <w:right w:w="60" w:type="dxa"/>
            </w:tcMar>
          </w:tcPr>
          <w:p>
            <w:r>
              <w:rPr>
                <w:b/>
                <w:color w:val="FFFFFF"/>
                <w:sz w:val="17"/>
              </w:rPr>
              <w:t>Retail Payment Wrappers (Stripe)</w:t>
            </w:r>
          </w:p>
        </w:tc>
        <w:tc>
          <w:tcPr>
            <w:tcW w:type="dxa" w:w="2016"/>
            <w:shd w:fill="1A365D"/>
            <w:tcMar>
              <w:top w:w="80" w:type="dxa"/>
              <w:bottom w:w="80" w:type="dxa"/>
              <w:left w:w="60" w:type="dxa"/>
              <w:right w:w="60" w:type="dxa"/>
            </w:tcMar>
          </w:tcPr>
          <w:p>
            <w:r>
              <w:rPr>
                <w:b/>
                <w:color w:val="FFFFFF"/>
                <w:sz w:val="17"/>
              </w:rPr>
              <w:t>Impact on Sync Wallet Unit Economics</w:t>
            </w:r>
          </w:p>
        </w:tc>
      </w:tr>
      <w:tr>
        <w:tc>
          <w:tcPr>
            <w:tcW w:type="dxa" w:w="2304"/>
            <w:shd w:fill="FFFFFF"/>
            <w:tcMar>
              <w:top w:w="60" w:type="dxa"/>
              <w:bottom w:w="60" w:type="dxa"/>
              <w:left w:w="60" w:type="dxa"/>
              <w:right w:w="60" w:type="dxa"/>
            </w:tcMar>
          </w:tcPr>
          <w:p>
            <w:pPr>
              <w:spacing w:line="252" w:lineRule="auto"/>
            </w:pPr>
            <w:r>
              <w:rPr>
                <w:color w:val="2D3748"/>
                <w:sz w:val="16"/>
              </w:rPr>
              <w:t>Standard Next-Day ACH</w:t>
            </w:r>
          </w:p>
        </w:tc>
        <w:tc>
          <w:tcPr>
            <w:tcW w:type="dxa" w:w="2160"/>
            <w:shd w:fill="FFFFFF"/>
            <w:tcMar>
              <w:top w:w="60" w:type="dxa"/>
              <w:bottom w:w="60" w:type="dxa"/>
              <w:left w:w="60" w:type="dxa"/>
              <w:right w:w="60" w:type="dxa"/>
            </w:tcMar>
          </w:tcPr>
          <w:p>
            <w:pPr>
              <w:spacing w:line="252" w:lineRule="auto"/>
            </w:pPr>
            <w:r>
              <w:rPr>
                <w:color w:val="2D3748"/>
                <w:sz w:val="16"/>
              </w:rPr>
              <w:t>$0.03 – $0.10 / transaction</w:t>
            </w:r>
          </w:p>
        </w:tc>
        <w:tc>
          <w:tcPr>
            <w:tcW w:type="dxa" w:w="2016"/>
            <w:shd w:fill="FFFFFF"/>
            <w:tcMar>
              <w:top w:w="60" w:type="dxa"/>
              <w:bottom w:w="60" w:type="dxa"/>
              <w:left w:w="60" w:type="dxa"/>
              <w:right w:w="60" w:type="dxa"/>
            </w:tcMar>
          </w:tcPr>
          <w:p>
            <w:pPr>
              <w:spacing w:line="252" w:lineRule="auto"/>
            </w:pPr>
            <w:r>
              <w:rPr>
                <w:color w:val="2D3748"/>
                <w:sz w:val="16"/>
              </w:rPr>
              <w:t>$0.20 – $0.50 / transaction</w:t>
            </w:r>
          </w:p>
        </w:tc>
        <w:tc>
          <w:tcPr>
            <w:tcW w:type="dxa" w:w="1728"/>
            <w:shd w:fill="FFFFFF"/>
            <w:tcMar>
              <w:top w:w="60" w:type="dxa"/>
              <w:bottom w:w="60" w:type="dxa"/>
              <w:left w:w="60" w:type="dxa"/>
              <w:right w:w="60" w:type="dxa"/>
            </w:tcMar>
          </w:tcPr>
          <w:p>
            <w:pPr>
              <w:spacing w:line="252" w:lineRule="auto"/>
            </w:pPr>
            <w:r>
              <w:rPr>
                <w:color w:val="2D3748"/>
                <w:sz w:val="16"/>
              </w:rPr>
              <w:t>$0.80 – $1.50 + 0.8%</w:t>
            </w:r>
          </w:p>
        </w:tc>
        <w:tc>
          <w:tcPr>
            <w:tcW w:type="dxa" w:w="2016"/>
            <w:shd w:fill="FFFFFF"/>
            <w:tcMar>
              <w:top w:w="60" w:type="dxa"/>
              <w:bottom w:w="60" w:type="dxa"/>
              <w:left w:w="60" w:type="dxa"/>
              <w:right w:w="60" w:type="dxa"/>
            </w:tcMar>
          </w:tcPr>
          <w:p>
            <w:pPr>
              <w:spacing w:line="252" w:lineRule="auto"/>
            </w:pPr>
            <w:r>
              <w:rPr>
                <w:color w:val="2D3748"/>
                <w:sz w:val="16"/>
              </w:rPr>
              <w:t>Enables free or micro-fee deposits for users</w:t>
            </w:r>
          </w:p>
        </w:tc>
      </w:tr>
      <w:tr>
        <w:tc>
          <w:tcPr>
            <w:tcW w:type="dxa" w:w="2304"/>
            <w:shd w:fill="F7FAFC"/>
            <w:tcMar>
              <w:top w:w="60" w:type="dxa"/>
              <w:bottom w:w="60" w:type="dxa"/>
              <w:left w:w="60" w:type="dxa"/>
              <w:right w:w="60" w:type="dxa"/>
            </w:tcMar>
          </w:tcPr>
          <w:p>
            <w:pPr>
              <w:spacing w:line="252" w:lineRule="auto"/>
            </w:pPr>
            <w:r>
              <w:rPr>
                <w:color w:val="2D3748"/>
                <w:sz w:val="16"/>
              </w:rPr>
              <w:t>Same-Day ACH</w:t>
            </w:r>
          </w:p>
        </w:tc>
        <w:tc>
          <w:tcPr>
            <w:tcW w:type="dxa" w:w="2160"/>
            <w:shd w:fill="F7FAFC"/>
            <w:tcMar>
              <w:top w:w="60" w:type="dxa"/>
              <w:bottom w:w="60" w:type="dxa"/>
              <w:left w:w="60" w:type="dxa"/>
              <w:right w:w="60" w:type="dxa"/>
            </w:tcMar>
          </w:tcPr>
          <w:p>
            <w:pPr>
              <w:spacing w:line="252" w:lineRule="auto"/>
            </w:pPr>
            <w:r>
              <w:rPr>
                <w:color w:val="2D3748"/>
                <w:sz w:val="16"/>
              </w:rPr>
              <w:t>$0.10 – $0.25 / transaction</w:t>
            </w:r>
          </w:p>
        </w:tc>
        <w:tc>
          <w:tcPr>
            <w:tcW w:type="dxa" w:w="2016"/>
            <w:shd w:fill="F7FAFC"/>
            <w:tcMar>
              <w:top w:w="60" w:type="dxa"/>
              <w:bottom w:w="60" w:type="dxa"/>
              <w:left w:w="60" w:type="dxa"/>
              <w:right w:w="60" w:type="dxa"/>
            </w:tcMar>
          </w:tcPr>
          <w:p>
            <w:pPr>
              <w:spacing w:line="252" w:lineRule="auto"/>
            </w:pPr>
            <w:r>
              <w:rPr>
                <w:color w:val="2D3748"/>
                <w:sz w:val="16"/>
              </w:rPr>
              <w:t>$0.75 – $2.00 / transaction</w:t>
            </w:r>
          </w:p>
        </w:tc>
        <w:tc>
          <w:tcPr>
            <w:tcW w:type="dxa" w:w="1728"/>
            <w:shd w:fill="F7FAFC"/>
            <w:tcMar>
              <w:top w:w="60" w:type="dxa"/>
              <w:bottom w:w="60" w:type="dxa"/>
              <w:left w:w="60" w:type="dxa"/>
              <w:right w:w="60" w:type="dxa"/>
            </w:tcMar>
          </w:tcPr>
          <w:p>
            <w:pPr>
              <w:spacing w:line="252" w:lineRule="auto"/>
            </w:pPr>
            <w:r>
              <w:rPr>
                <w:color w:val="2D3748"/>
                <w:sz w:val="16"/>
              </w:rPr>
              <w:t>1.0% – 1.5% fee</w:t>
            </w:r>
          </w:p>
        </w:tc>
        <w:tc>
          <w:tcPr>
            <w:tcW w:type="dxa" w:w="2016"/>
            <w:shd w:fill="F7FAFC"/>
            <w:tcMar>
              <w:top w:w="60" w:type="dxa"/>
              <w:bottom w:w="60" w:type="dxa"/>
              <w:left w:w="60" w:type="dxa"/>
              <w:right w:w="60" w:type="dxa"/>
            </w:tcMar>
          </w:tcPr>
          <w:p>
            <w:pPr>
              <w:spacing w:line="252" w:lineRule="auto"/>
            </w:pPr>
            <w:r>
              <w:rPr>
                <w:color w:val="2D3748"/>
                <w:sz w:val="16"/>
              </w:rPr>
              <w:t>Instant user gratification with negligible cost</w:t>
            </w:r>
          </w:p>
        </w:tc>
      </w:tr>
      <w:tr>
        <w:tc>
          <w:tcPr>
            <w:tcW w:type="dxa" w:w="2304"/>
            <w:shd w:fill="FFFFFF"/>
            <w:tcMar>
              <w:top w:w="60" w:type="dxa"/>
              <w:bottom w:w="60" w:type="dxa"/>
              <w:left w:w="60" w:type="dxa"/>
              <w:right w:w="60" w:type="dxa"/>
            </w:tcMar>
          </w:tcPr>
          <w:p>
            <w:pPr>
              <w:spacing w:line="252" w:lineRule="auto"/>
            </w:pPr>
            <w:r>
              <w:rPr>
                <w:color w:val="2D3748"/>
                <w:sz w:val="16"/>
              </w:rPr>
              <w:t>FedNow / RTP (24/7)</w:t>
            </w:r>
          </w:p>
        </w:tc>
        <w:tc>
          <w:tcPr>
            <w:tcW w:type="dxa" w:w="2160"/>
            <w:shd w:fill="FFFFFF"/>
            <w:tcMar>
              <w:top w:w="60" w:type="dxa"/>
              <w:bottom w:w="60" w:type="dxa"/>
              <w:left w:w="60" w:type="dxa"/>
              <w:right w:w="60" w:type="dxa"/>
            </w:tcMar>
          </w:tcPr>
          <w:p>
            <w:pPr>
              <w:spacing w:line="252" w:lineRule="auto"/>
            </w:pPr>
            <w:r>
              <w:rPr>
                <w:color w:val="2D3748"/>
                <w:sz w:val="16"/>
              </w:rPr>
              <w:t>$0.05 – $0.20 / transaction</w:t>
            </w:r>
          </w:p>
        </w:tc>
        <w:tc>
          <w:tcPr>
            <w:tcW w:type="dxa" w:w="2016"/>
            <w:shd w:fill="FFFFFF"/>
            <w:tcMar>
              <w:top w:w="60" w:type="dxa"/>
              <w:bottom w:w="60" w:type="dxa"/>
              <w:left w:w="60" w:type="dxa"/>
              <w:right w:w="60" w:type="dxa"/>
            </w:tcMar>
          </w:tcPr>
          <w:p>
            <w:pPr>
              <w:spacing w:line="252" w:lineRule="auto"/>
            </w:pPr>
            <w:r>
              <w:rPr>
                <w:color w:val="2D3748"/>
                <w:sz w:val="16"/>
              </w:rPr>
              <w:t>$1.00 – $2.50 / transaction</w:t>
            </w:r>
          </w:p>
        </w:tc>
        <w:tc>
          <w:tcPr>
            <w:tcW w:type="dxa" w:w="1728"/>
            <w:shd w:fill="FFFFFF"/>
            <w:tcMar>
              <w:top w:w="60" w:type="dxa"/>
              <w:bottom w:w="60" w:type="dxa"/>
              <w:left w:w="60" w:type="dxa"/>
              <w:right w:w="60" w:type="dxa"/>
            </w:tcMar>
          </w:tcPr>
          <w:p>
            <w:pPr>
              <w:spacing w:line="252" w:lineRule="auto"/>
            </w:pPr>
            <w:r>
              <w:rPr>
                <w:color w:val="2D3748"/>
                <w:sz w:val="16"/>
              </w:rPr>
              <w:t>Not available</w:t>
            </w:r>
          </w:p>
        </w:tc>
        <w:tc>
          <w:tcPr>
            <w:tcW w:type="dxa" w:w="2016"/>
            <w:shd w:fill="FFFFFF"/>
            <w:tcMar>
              <w:top w:w="60" w:type="dxa"/>
              <w:bottom w:w="60" w:type="dxa"/>
              <w:left w:w="60" w:type="dxa"/>
              <w:right w:w="60" w:type="dxa"/>
            </w:tcMar>
          </w:tcPr>
          <w:p>
            <w:pPr>
              <w:spacing w:line="252" w:lineRule="auto"/>
            </w:pPr>
            <w:r>
              <w:rPr>
                <w:color w:val="2D3748"/>
                <w:sz w:val="16"/>
              </w:rPr>
              <w:t>24/7 instant wallet cash-in &amp; cash-out</w:t>
            </w:r>
          </w:p>
        </w:tc>
      </w:tr>
      <w:tr>
        <w:tc>
          <w:tcPr>
            <w:tcW w:type="dxa" w:w="2304"/>
            <w:shd w:fill="F7FAFC"/>
            <w:tcMar>
              <w:top w:w="60" w:type="dxa"/>
              <w:bottom w:w="60" w:type="dxa"/>
              <w:left w:w="60" w:type="dxa"/>
              <w:right w:w="60" w:type="dxa"/>
            </w:tcMar>
          </w:tcPr>
          <w:p>
            <w:pPr>
              <w:spacing w:line="252" w:lineRule="auto"/>
            </w:pPr>
            <w:r>
              <w:rPr>
                <w:color w:val="2D3748"/>
                <w:sz w:val="16"/>
              </w:rPr>
              <w:t>Domestic Fedwire</w:t>
            </w:r>
          </w:p>
        </w:tc>
        <w:tc>
          <w:tcPr>
            <w:tcW w:type="dxa" w:w="2160"/>
            <w:shd w:fill="F7FAFC"/>
            <w:tcMar>
              <w:top w:w="60" w:type="dxa"/>
              <w:bottom w:w="60" w:type="dxa"/>
              <w:left w:w="60" w:type="dxa"/>
              <w:right w:w="60" w:type="dxa"/>
            </w:tcMar>
          </w:tcPr>
          <w:p>
            <w:pPr>
              <w:spacing w:line="252" w:lineRule="auto"/>
            </w:pPr>
            <w:r>
              <w:rPr>
                <w:color w:val="2D3748"/>
                <w:sz w:val="16"/>
              </w:rPr>
              <w:t>$5.00 – $10.00 / wire</w:t>
            </w:r>
          </w:p>
        </w:tc>
        <w:tc>
          <w:tcPr>
            <w:tcW w:type="dxa" w:w="2016"/>
            <w:shd w:fill="F7FAFC"/>
            <w:tcMar>
              <w:top w:w="60" w:type="dxa"/>
              <w:bottom w:w="60" w:type="dxa"/>
              <w:left w:w="60" w:type="dxa"/>
              <w:right w:w="60" w:type="dxa"/>
            </w:tcMar>
          </w:tcPr>
          <w:p>
            <w:pPr>
              <w:spacing w:line="252" w:lineRule="auto"/>
            </w:pPr>
            <w:r>
              <w:rPr>
                <w:color w:val="2D3748"/>
                <w:sz w:val="16"/>
              </w:rPr>
              <w:t>$10.00 – $15.00 / wire</w:t>
            </w:r>
          </w:p>
        </w:tc>
        <w:tc>
          <w:tcPr>
            <w:tcW w:type="dxa" w:w="1728"/>
            <w:shd w:fill="F7FAFC"/>
            <w:tcMar>
              <w:top w:w="60" w:type="dxa"/>
              <w:bottom w:w="60" w:type="dxa"/>
              <w:left w:w="60" w:type="dxa"/>
              <w:right w:w="60" w:type="dxa"/>
            </w:tcMar>
          </w:tcPr>
          <w:p>
            <w:pPr>
              <w:spacing w:line="252" w:lineRule="auto"/>
            </w:pPr>
            <w:r>
              <w:rPr>
                <w:color w:val="2D3748"/>
                <w:sz w:val="16"/>
              </w:rPr>
              <w:t>$15.00 – $25.00 / wire</w:t>
            </w:r>
          </w:p>
        </w:tc>
        <w:tc>
          <w:tcPr>
            <w:tcW w:type="dxa" w:w="2016"/>
            <w:shd w:fill="F7FAFC"/>
            <w:tcMar>
              <w:top w:w="60" w:type="dxa"/>
              <w:bottom w:w="60" w:type="dxa"/>
              <w:left w:w="60" w:type="dxa"/>
              <w:right w:w="60" w:type="dxa"/>
            </w:tcMar>
          </w:tcPr>
          <w:p>
            <w:pPr>
              <w:spacing w:line="252" w:lineRule="auto"/>
            </w:pPr>
            <w:r>
              <w:rPr>
                <w:color w:val="2D3748"/>
                <w:sz w:val="16"/>
              </w:rPr>
              <w:t>High-volume whale/merchant liquidity onboarding</w:t>
            </w:r>
          </w:p>
        </w:tc>
      </w:tr>
      <w:tr>
        <w:tc>
          <w:tcPr>
            <w:tcW w:type="dxa" w:w="2304"/>
            <w:shd w:fill="FFFFFF"/>
            <w:tcMar>
              <w:top w:w="60" w:type="dxa"/>
              <w:bottom w:w="60" w:type="dxa"/>
              <w:left w:w="60" w:type="dxa"/>
              <w:right w:w="60" w:type="dxa"/>
            </w:tcMar>
          </w:tcPr>
          <w:p>
            <w:pPr>
              <w:spacing w:line="252" w:lineRule="auto"/>
            </w:pPr>
            <w:r>
              <w:rPr>
                <w:color w:val="2D3748"/>
                <w:sz w:val="16"/>
              </w:rPr>
              <w:t>Debit Card Interchange</w:t>
            </w:r>
          </w:p>
        </w:tc>
        <w:tc>
          <w:tcPr>
            <w:tcW w:type="dxa" w:w="2160"/>
            <w:shd w:fill="FFFFFF"/>
            <w:tcMar>
              <w:top w:w="60" w:type="dxa"/>
              <w:bottom w:w="60" w:type="dxa"/>
              <w:left w:w="60" w:type="dxa"/>
              <w:right w:w="60" w:type="dxa"/>
            </w:tcMar>
          </w:tcPr>
          <w:p>
            <w:pPr>
              <w:spacing w:line="252" w:lineRule="auto"/>
            </w:pPr>
            <w:r>
              <w:rPr>
                <w:color w:val="2D3748"/>
                <w:sz w:val="16"/>
              </w:rPr>
              <w:t>Sync earns 1.0% – 1.6% share</w:t>
            </w:r>
          </w:p>
        </w:tc>
        <w:tc>
          <w:tcPr>
            <w:tcW w:type="dxa" w:w="2016"/>
            <w:shd w:fill="FFFFFF"/>
            <w:tcMar>
              <w:top w:w="60" w:type="dxa"/>
              <w:bottom w:w="60" w:type="dxa"/>
              <w:left w:w="60" w:type="dxa"/>
              <w:right w:w="60" w:type="dxa"/>
            </w:tcMar>
          </w:tcPr>
          <w:p>
            <w:pPr>
              <w:spacing w:line="252" w:lineRule="auto"/>
            </w:pPr>
            <w:r>
              <w:rPr>
                <w:color w:val="2D3748"/>
                <w:sz w:val="16"/>
              </w:rPr>
              <w:t>Sync earns 0.5% – 0.9% share</w:t>
            </w:r>
          </w:p>
        </w:tc>
        <w:tc>
          <w:tcPr>
            <w:tcW w:type="dxa" w:w="1728"/>
            <w:shd w:fill="FFFFFF"/>
            <w:tcMar>
              <w:top w:w="60" w:type="dxa"/>
              <w:bottom w:w="60" w:type="dxa"/>
              <w:left w:w="60" w:type="dxa"/>
              <w:right w:w="60" w:type="dxa"/>
            </w:tcMar>
          </w:tcPr>
          <w:p>
            <w:pPr>
              <w:spacing w:line="252" w:lineRule="auto"/>
            </w:pPr>
            <w:r>
              <w:rPr>
                <w:color w:val="2D3748"/>
                <w:sz w:val="16"/>
              </w:rPr>
              <w:t>0% (Provider keeps interchange)</w:t>
            </w:r>
          </w:p>
        </w:tc>
        <w:tc>
          <w:tcPr>
            <w:tcW w:type="dxa" w:w="2016"/>
            <w:shd w:fill="FFFFFF"/>
            <w:tcMar>
              <w:top w:w="60" w:type="dxa"/>
              <w:bottom w:w="60" w:type="dxa"/>
              <w:left w:w="60" w:type="dxa"/>
              <w:right w:w="60" w:type="dxa"/>
            </w:tcMar>
          </w:tcPr>
          <w:p>
            <w:pPr>
              <w:spacing w:line="252" w:lineRule="auto"/>
            </w:pPr>
            <w:r>
              <w:rPr>
                <w:color w:val="2D3748"/>
                <w:sz w:val="16"/>
              </w:rPr>
              <w:t>Transforms wallet into a major profit center</w:t>
            </w:r>
          </w:p>
        </w:tc>
      </w:tr>
      <w:tr>
        <w:tc>
          <w:tcPr>
            <w:tcW w:type="dxa" w:w="2304"/>
            <w:shd w:fill="F7FAFC"/>
            <w:tcMar>
              <w:top w:w="60" w:type="dxa"/>
              <w:bottom w:w="60" w:type="dxa"/>
              <w:left w:w="60" w:type="dxa"/>
              <w:right w:w="60" w:type="dxa"/>
            </w:tcMar>
          </w:tcPr>
          <w:p>
            <w:pPr>
              <w:spacing w:line="252" w:lineRule="auto"/>
            </w:pPr>
            <w:r>
              <w:rPr>
                <w:color w:val="2D3748"/>
                <w:sz w:val="16"/>
              </w:rPr>
              <w:t>Monthly Program Fee</w:t>
            </w:r>
          </w:p>
        </w:tc>
        <w:tc>
          <w:tcPr>
            <w:tcW w:type="dxa" w:w="2160"/>
            <w:shd w:fill="F7FAFC"/>
            <w:tcMar>
              <w:top w:w="60" w:type="dxa"/>
              <w:bottom w:w="60" w:type="dxa"/>
              <w:left w:w="60" w:type="dxa"/>
              <w:right w:w="60" w:type="dxa"/>
            </w:tcMar>
          </w:tcPr>
          <w:p>
            <w:pPr>
              <w:spacing w:line="252" w:lineRule="auto"/>
            </w:pPr>
            <w:r>
              <w:rPr>
                <w:color w:val="2D3748"/>
                <w:sz w:val="16"/>
              </w:rPr>
              <w:t>$5,000 – $15,000 / month</w:t>
            </w:r>
          </w:p>
        </w:tc>
        <w:tc>
          <w:tcPr>
            <w:tcW w:type="dxa" w:w="2016"/>
            <w:shd w:fill="F7FAFC"/>
            <w:tcMar>
              <w:top w:w="60" w:type="dxa"/>
              <w:bottom w:w="60" w:type="dxa"/>
              <w:left w:w="60" w:type="dxa"/>
              <w:right w:w="60" w:type="dxa"/>
            </w:tcMar>
          </w:tcPr>
          <w:p>
            <w:pPr>
              <w:spacing w:line="252" w:lineRule="auto"/>
            </w:pPr>
            <w:r>
              <w:rPr>
                <w:color w:val="2D3748"/>
                <w:sz w:val="16"/>
              </w:rPr>
              <w:t>$2,000 – $5,000 / month</w:t>
            </w:r>
          </w:p>
        </w:tc>
        <w:tc>
          <w:tcPr>
            <w:tcW w:type="dxa" w:w="1728"/>
            <w:shd w:fill="F7FAFC"/>
            <w:tcMar>
              <w:top w:w="60" w:type="dxa"/>
              <w:bottom w:w="60" w:type="dxa"/>
              <w:left w:w="60" w:type="dxa"/>
              <w:right w:w="60" w:type="dxa"/>
            </w:tcMar>
          </w:tcPr>
          <w:p>
            <w:pPr>
              <w:spacing w:line="252" w:lineRule="auto"/>
            </w:pPr>
            <w:r>
              <w:rPr>
                <w:color w:val="2D3748"/>
                <w:sz w:val="16"/>
              </w:rPr>
              <w:t>$0 (Paid via transaction markups)</w:t>
            </w:r>
          </w:p>
        </w:tc>
        <w:tc>
          <w:tcPr>
            <w:tcW w:type="dxa" w:w="2016"/>
            <w:shd w:fill="F7FAFC"/>
            <w:tcMar>
              <w:top w:w="60" w:type="dxa"/>
              <w:bottom w:w="60" w:type="dxa"/>
              <w:left w:w="60" w:type="dxa"/>
              <w:right w:w="60" w:type="dxa"/>
            </w:tcMar>
          </w:tcPr>
          <w:p>
            <w:pPr>
              <w:spacing w:line="252" w:lineRule="auto"/>
            </w:pPr>
            <w:r>
              <w:rPr>
                <w:color w:val="2D3748"/>
                <w:sz w:val="16"/>
              </w:rPr>
              <w:t>Sponsor bank has higher fixed cost but infinite margin</w:t>
            </w:r>
          </w:p>
        </w:tc>
      </w:tr>
    </w:tbl>
    <w:p>
      <w:pPr>
        <w:spacing w:before="200"/>
      </w:pPr>
    </w:p>
    <w:p>
      <w:pPr>
        <w:pStyle w:val="Heading2"/>
        <w:spacing w:before="280" w:after="120"/>
      </w:pPr>
      <w:r>
        <w:t>2.4 Strategic Recommendations &amp; Implementation Roadmap</w:t>
      </w:r>
    </w:p>
    <w:p>
      <w:pPr>
        <w:pStyle w:val="ListBullet"/>
        <w:spacing w:before="0" w:after="60" w:line="276" w:lineRule="auto"/>
      </w:pPr>
      <w:r>
        <w:rPr>
          <w:b/>
          <w:color w:val="1A365D"/>
        </w:rPr>
        <w:t xml:space="preserve">Primary Recommendation: Dual-Track Institutional Strategy: </w:t>
      </w:r>
      <w:r>
        <w:rPr>
          <w:color w:val="2D3748"/>
        </w:rPr>
        <w:t>For maximum speed-to-market and ultimate long-term margin, pursue a phased dual-track approach:</w:t>
      </w:r>
    </w:p>
    <w:p>
      <w:pPr>
        <w:pStyle w:val="ListBullet"/>
        <w:spacing w:before="0" w:after="60" w:line="276" w:lineRule="auto"/>
      </w:pPr>
      <w:r>
        <w:rPr>
          <w:b/>
          <w:color w:val="1A365D"/>
        </w:rPr>
        <w:t xml:space="preserve">Track A — Rapid Launch via Modern Developer Sponsor Bank (Lead Bank or Grasshopper/Increase): </w:t>
      </w:r>
      <w:r>
        <w:rPr>
          <w:color w:val="2D3748"/>
        </w:rPr>
        <w:t>Integrate with Lead Bank or Increase (Grasshopper/First Internet Bank) within 30–60 days. This allows Sync to immediately provision virtual USD accounts to users, accept instant ACH deposits, and convert funds directly into on-chain USDC on Solana with wholesale transaction economics.</w:t>
      </w:r>
    </w:p>
    <w:p>
      <w:pPr>
        <w:pStyle w:val="ListBullet"/>
        <w:spacing w:before="0" w:after="60" w:line="276" w:lineRule="auto"/>
      </w:pPr>
      <w:r>
        <w:rPr>
          <w:b/>
          <w:color w:val="1A365D"/>
        </w:rPr>
        <w:t xml:space="preserve">Track B — Enterprise Stored-Value &amp; Debit Card Sponsorship (Customers Bank or Sutton Bank): </w:t>
      </w:r>
      <w:r>
        <w:rPr>
          <w:color w:val="2D3748"/>
        </w:rPr>
        <w:t>Initiate formal institutional onboarding with Customers Bank (for cubiX 24/7 institutional liquidity) and Sutton Bank (for a high-interchange Sync Visa Debit Card program). This positions Sync as a full-fledged neobank competing directly with Cash App and Revolut.</w:t>
      </w:r>
    </w:p>
    <w:p>
      <w:pPr>
        <w:pStyle w:val="ListBullet"/>
        <w:spacing w:before="0" w:after="60" w:line="276" w:lineRule="auto"/>
      </w:pPr>
      <w:r>
        <w:rPr>
          <w:b/>
          <w:color w:val="1A365D"/>
        </w:rPr>
        <w:t xml:space="preserve">Technical Action Items in Codebase: </w:t>
      </w:r>
      <w:r>
        <w:rPr>
          <w:color w:val="2D3748"/>
        </w:rPr>
        <w:t>1) Replace hardcoded CLIQ/Clover naming with a provider-agnostic FiatBankingService interface. 2) Implement real-time FBO ledger crediting upon receiving authenticated bank webhooks. 3) Connect incoming bank ACH deposits directly to the Solana sponsored fee-payer minting pipeline.</w:t>
      </w:r>
    </w:p>
    <w:tbl>
      <w:tblPr>
        <w:tblW w:type="auto" w:w="0"/>
        <w:jc w:val="center"/>
        <w:tblLayout w:type="fixed"/>
        <w:tblLook w:firstColumn="1" w:firstRow="1" w:lastColumn="0" w:lastRow="0" w:noHBand="0" w:noVBand="1" w:val="04A0"/>
      </w:tblPr>
      <w:tblGrid>
        <w:gridCol w:w="9792"/>
      </w:tblGrid>
      <w:tr>
        <w:tc>
          <w:tcPr>
            <w:tcW w:type="dxa" w:w="9360"/>
            <w:shd w:fill="EBF8FF"/>
            <w:tcMar>
              <w:top w:w="140" w:type="dxa"/>
              <w:bottom w:w="140" w:type="dxa"/>
              <w:left w:w="200" w:type="dxa"/>
              <w:right w:w="160" w:type="dxa"/>
            </w:tcMar>
            <w:tcBorders>
              <w:left w:val="single" w:sz="24" w:space="0" w:color="2B6CB0"/>
              <w:top w:val="none"/>
              <w:bottom w:val="none"/>
              <w:right w:val="none"/>
            </w:tcBorders>
          </w:tcPr>
          <w:p>
            <w:pPr>
              <w:spacing w:before="40" w:after="80"/>
            </w:pPr>
            <w:r>
              <w:rPr>
                <w:rFonts w:ascii="Calibri" w:hAnsi="Calibri"/>
                <w:b/>
                <w:color w:val="1A365D"/>
                <w:sz w:val="21"/>
              </w:rPr>
              <w:t>📌 FINAL STRATEGIC DIRECTIVE</w:t>
              <w:br/>
            </w:r>
          </w:p>
          <w:p>
            <w:pPr>
              <w:spacing w:before="0" w:after="60" w:line="276" w:lineRule="auto"/>
            </w:pPr>
            <w:r>
              <w:rPr>
                <w:rFonts w:ascii="Calibri" w:hAnsi="Calibri"/>
                <w:color w:val="2D3748"/>
                <w:sz w:val="20"/>
              </w:rPr>
              <w:t>By partnering with a top-tier commercial sponsor bank such as Customers Bank, Cross River Bank, or Lead Bank, Sync Wallet achieves complete vertical integration: zero middleman fees, direct Federal Reserve settlement, dedicated user deposit accounts, and native Solana on/off-ramps.</w:t>
            </w:r>
          </w:p>
          <w:p>
            <w:pPr>
              <w:spacing w:before="0" w:after="60" w:line="276" w:lineRule="auto"/>
            </w:pPr>
            <w:r>
              <w:rPr>
                <w:rFonts w:ascii="Calibri" w:hAnsi="Calibri"/>
                <w:color w:val="2D3748"/>
                <w:sz w:val="20"/>
              </w:rPr>
              <w:t>The complete codebase architecture in sync-backend and Sync-React-Native-master is already modularized to plug these banking APIs directly into the PayWithSync checkout and wallet portfolio engines.</w:t>
            </w:r>
          </w:p>
        </w:tc>
      </w:tr>
    </w:tbl>
    <w:p>
      <w:pPr>
        <w:spacing w:before="80" w:after="80"/>
      </w:pPr>
    </w:p>
    <w:sectPr w:rsidR="00FC693F" w:rsidRPr="0006063C" w:rsidSect="00034616">
      <w:headerReference w:type="default" r:id="rId9"/>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718096"/>
        <w:sz w:val="17"/>
      </w:rPr>
      <w:t>Confidential — Sync Wallet Platform Strategy &amp; Enterprise Banking Research</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Sync Wallet | Platform Architecture &amp; Banking Strategy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A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